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487" w:type="dxa"/>
            <w:textDirection w:val="lrTb"/>
            <w:noWrap w:val="false"/>
          </w:tcPr>
          <w:p>
            <w:pPr>
              <w:tabs>
                <w:tab w:val="left" w:pos="6804" w:leader="none"/>
              </w:tabs>
              <w:rPr>
                <w:rFonts w:eastAsia="Calibri"/>
                <w:sz w:val="24"/>
                <w:szCs w:val="24"/>
                <w:u w:val="single"/>
                <w:lang w:eastAsia="en-US"/>
              </w:rPr>
            </w:pPr>
            <w:r>
              <w:rPr>
                <w:rFonts w:eastAsia="Calibri"/>
                <w:sz w:val="24"/>
                <w:szCs w:val="24"/>
                <w:u w:val="single"/>
                <w:lang w:val="ru-RU" w:eastAsia="en-US"/>
              </w:rPr>
              <w:t xml:space="preserve">СО ТЗ.0020</w:t>
            </w:r>
            <w:r>
              <w:rPr>
                <w:rFonts w:eastAsia="Calibri"/>
                <w:sz w:val="24"/>
                <w:szCs w:val="24"/>
                <w:u w:val="single"/>
                <w:lang w:eastAsia="en-US"/>
              </w:rPr>
              <w:t xml:space="preserve">/0-02</w:t>
            </w:r>
            <w:r>
              <w:rPr>
                <w:rFonts w:eastAsia="Calibri"/>
                <w:sz w:val="24"/>
                <w:szCs w:val="24"/>
                <w:u w:val="single"/>
                <w:lang w:eastAsia="en-US"/>
              </w:rPr>
            </w:r>
            <w:r>
              <w:rPr>
                <w:rFonts w:eastAsia="Calibri"/>
                <w:sz w:val="24"/>
                <w:szCs w:val="24"/>
                <w:u w:val="single"/>
                <w:lang w:eastAsia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418" w:type="dxa"/>
            <w:textDirection w:val="lrTb"/>
            <w:noWrap w:val="false"/>
          </w:tcPr>
          <w:p>
            <w:pPr>
              <w:tabs>
                <w:tab w:val="left" w:pos="6804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УТВЕРЖДАЮ: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  <w:p>
            <w:pPr>
              <w:tabs>
                <w:tab w:val="left" w:pos="6804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Заместитель директора по техническим вопросам – главный инженер ____________ /А.И. Таранков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  <w:p>
            <w:pPr>
              <w:tabs>
                <w:tab w:val="left" w:pos="6804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«___»___________ 20__ г.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  <w:p>
            <w:pPr>
              <w:tabs>
                <w:tab w:val="left" w:pos="6804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</w:tr>
    </w:tbl>
    <w:p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26"/>
        <w:jc w:val="center"/>
        <w:rPr>
          <w:i/>
          <w:szCs w:val="24"/>
          <w:lang w:val="ru-RU"/>
        </w:rPr>
      </w:pPr>
      <w:r>
        <w:rPr>
          <w:b/>
          <w:szCs w:val="24"/>
          <w:lang w:val="ru-RU"/>
        </w:rPr>
        <w:t xml:space="preserve">ТЕХНИЧЕСКОЕ ЗАДАНИЕ </w:t>
      </w:r>
      <w:r>
        <w:rPr>
          <w:i/>
          <w:szCs w:val="24"/>
          <w:lang w:val="ru-RU"/>
        </w:rPr>
      </w:r>
      <w:r>
        <w:rPr>
          <w:i/>
          <w:szCs w:val="24"/>
          <w:lang w:val="ru-RU"/>
        </w:rPr>
      </w:r>
    </w:p>
    <w:p>
      <w:pPr>
        <w:jc w:val="center"/>
        <w:rPr>
          <w:i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 проведение закупки на поставку </w:t>
      </w:r>
      <w:r>
        <w:rPr>
          <w:sz w:val="24"/>
          <w:szCs w:val="24"/>
          <w:lang w:val="ru-RU"/>
        </w:rPr>
        <w:t xml:space="preserve">а</w:t>
      </w:r>
      <w:r>
        <w:rPr>
          <w:sz w:val="24"/>
          <w:szCs w:val="24"/>
          <w:lang w:val="ru-RU"/>
        </w:rPr>
        <w:t xml:space="preserve">втогидроподъемник</w:t>
      </w:r>
      <w:r>
        <w:rPr>
          <w:sz w:val="24"/>
          <w:szCs w:val="24"/>
          <w:lang w:val="ru-RU"/>
        </w:rPr>
        <w:t xml:space="preserve">а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ПСС-131.18Э  на шасси  ГАЗ-C42A43</w:t>
      </w:r>
      <w:r>
        <w:rPr>
          <w:i/>
          <w:sz w:val="24"/>
          <w:szCs w:val="24"/>
          <w:lang w:val="ru-RU"/>
        </w:rPr>
        <w:t xml:space="preserve">.</w:t>
      </w:r>
      <w:r>
        <w:rPr>
          <w:i/>
          <w:sz w:val="24"/>
          <w:szCs w:val="24"/>
          <w:lang w:val="ru-RU"/>
        </w:rPr>
      </w:r>
      <w:r>
        <w:rPr>
          <w:i/>
          <w:sz w:val="24"/>
          <w:szCs w:val="24"/>
          <w:lang w:val="ru-RU"/>
        </w:rPr>
      </w:r>
    </w:p>
    <w:p>
      <w:pPr>
        <w:numPr>
          <w:ilvl w:val="0"/>
          <w:numId w:val="12"/>
        </w:numPr>
        <w:rPr>
          <w:rFonts w:eastAsia="Calibri"/>
          <w:b/>
          <w:bCs/>
          <w:sz w:val="24"/>
          <w:szCs w:val="24"/>
          <w:lang w:val="ru-RU" w:eastAsia="en-US"/>
        </w:rPr>
      </w:pPr>
      <w:r>
        <w:rPr>
          <w:rFonts w:eastAsia="Calibri"/>
          <w:b/>
          <w:bCs/>
          <w:sz w:val="24"/>
          <w:szCs w:val="24"/>
          <w:lang w:val="ru-RU" w:eastAsia="en-US"/>
        </w:rPr>
        <w:t xml:space="preserve">Общие положения.</w:t>
      </w:r>
      <w:r>
        <w:rPr>
          <w:rFonts w:eastAsia="Calibri"/>
          <w:b/>
          <w:bCs/>
          <w:sz w:val="24"/>
          <w:szCs w:val="24"/>
          <w:lang w:val="ru-RU" w:eastAsia="en-US"/>
        </w:rPr>
      </w:r>
      <w:r>
        <w:rPr>
          <w:rFonts w:eastAsia="Calibri"/>
          <w:b/>
          <w:bCs/>
          <w:sz w:val="24"/>
          <w:szCs w:val="24"/>
          <w:lang w:val="ru-RU" w:eastAsia="en-US"/>
        </w:rPr>
      </w:r>
    </w:p>
    <w:p>
      <w:pPr>
        <w:numPr>
          <w:ilvl w:val="1"/>
          <w:numId w:val="12"/>
        </w:numPr>
        <w:rPr>
          <w:rFonts w:eastAsia="Calibri"/>
          <w:bCs/>
          <w:sz w:val="24"/>
          <w:szCs w:val="24"/>
          <w:lang w:val="ru-RU" w:eastAsia="en-US"/>
        </w:rPr>
      </w:pPr>
      <w:r>
        <w:rPr>
          <w:rFonts w:eastAsia="Calibri"/>
          <w:bCs/>
          <w:sz w:val="24"/>
          <w:szCs w:val="24"/>
          <w:lang w:val="ru-RU" w:eastAsia="en-US"/>
        </w:rPr>
        <w:t xml:space="preserve">Заказчик: </w:t>
      </w:r>
      <w:r>
        <w:rPr>
          <w:rFonts w:eastAsia="Calibri"/>
          <w:bCs/>
          <w:sz w:val="24"/>
          <w:szCs w:val="24"/>
          <w:lang w:val="ru-RU" w:eastAsia="en-US"/>
        </w:rPr>
        <w:t xml:space="preserve">АО «Россети Сибирь Тываэнерго»</w:t>
      </w:r>
      <w:r>
        <w:rPr>
          <w:rFonts w:eastAsia="Calibri"/>
          <w:bCs/>
          <w:sz w:val="24"/>
          <w:szCs w:val="24"/>
          <w:lang w:val="ru-RU" w:eastAsia="en-US"/>
        </w:rPr>
      </w:r>
      <w:r>
        <w:rPr>
          <w:rFonts w:eastAsia="Calibri"/>
          <w:bCs/>
          <w:sz w:val="24"/>
          <w:szCs w:val="24"/>
          <w:lang w:val="ru-RU" w:eastAsia="en-US"/>
        </w:rPr>
      </w:r>
    </w:p>
    <w:p>
      <w:pPr>
        <w:numPr>
          <w:ilvl w:val="1"/>
          <w:numId w:val="12"/>
        </w:numPr>
        <w:rPr>
          <w:rFonts w:eastAsia="Calibri"/>
          <w:bCs/>
          <w:sz w:val="24"/>
          <w:szCs w:val="24"/>
          <w:lang w:val="ru-RU" w:eastAsia="en-US"/>
        </w:rPr>
      </w:pPr>
      <w:r>
        <w:rPr>
          <w:rFonts w:eastAsia="Calibri"/>
          <w:bCs/>
          <w:sz w:val="24"/>
          <w:szCs w:val="24"/>
          <w:lang w:val="ru-RU" w:eastAsia="en-US"/>
        </w:rPr>
        <w:t xml:space="preserve">Предмет закупки: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Поставка а</w:t>
      </w:r>
      <w:r>
        <w:rPr>
          <w:sz w:val="24"/>
          <w:szCs w:val="24"/>
          <w:lang w:val="ru-RU"/>
        </w:rPr>
        <w:t xml:space="preserve">втогидроподъемник</w:t>
      </w:r>
      <w:r>
        <w:rPr>
          <w:sz w:val="24"/>
          <w:szCs w:val="24"/>
          <w:lang w:val="ru-RU"/>
        </w:rPr>
        <w:t xml:space="preserve">а</w:t>
      </w:r>
      <w:r>
        <w:rPr>
          <w:sz w:val="24"/>
          <w:szCs w:val="24"/>
          <w:lang w:val="ru-RU"/>
        </w:rPr>
        <w:t xml:space="preserve"> ПСС-131.18Э, на шасси </w:t>
      </w:r>
      <w:r>
        <w:rPr>
          <w:sz w:val="24"/>
          <w:szCs w:val="24"/>
          <w:lang w:val="ru-RU"/>
        </w:rPr>
        <w:t xml:space="preserve">ГАЗ-C42A43</w:t>
      </w:r>
      <w:r>
        <w:rPr>
          <w:sz w:val="24"/>
          <w:szCs w:val="24"/>
          <w:lang w:val="ru-RU"/>
        </w:rPr>
        <w:t xml:space="preserve">.</w:t>
      </w:r>
      <w:r>
        <w:rPr>
          <w:rFonts w:eastAsia="Calibri"/>
          <w:bCs/>
          <w:sz w:val="24"/>
          <w:szCs w:val="24"/>
          <w:lang w:val="ru-RU" w:eastAsia="en-US"/>
        </w:rPr>
      </w:r>
      <w:r>
        <w:rPr>
          <w:rFonts w:eastAsia="Calibri"/>
          <w:bCs/>
          <w:sz w:val="24"/>
          <w:szCs w:val="24"/>
          <w:lang w:val="ru-RU" w:eastAsia="en-US"/>
        </w:rPr>
      </w:r>
    </w:p>
    <w:p>
      <w:pPr>
        <w:numPr>
          <w:ilvl w:val="0"/>
          <w:numId w:val="12"/>
        </w:numPr>
        <w:rPr>
          <w:rFonts w:eastAsia="Calibri"/>
          <w:b/>
          <w:bCs/>
          <w:sz w:val="24"/>
          <w:szCs w:val="24"/>
          <w:lang w:val="ru-RU" w:eastAsia="en-US"/>
        </w:rPr>
      </w:pPr>
      <w:r>
        <w:rPr>
          <w:rFonts w:eastAsia="Calibri"/>
          <w:b/>
          <w:bCs/>
          <w:sz w:val="24"/>
          <w:szCs w:val="24"/>
          <w:lang w:val="ru-RU" w:eastAsia="en-US"/>
        </w:rPr>
        <w:t xml:space="preserve">Место, срок и условия поставки транспортных средств.</w:t>
      </w:r>
      <w:r>
        <w:rPr>
          <w:rFonts w:eastAsia="Calibri"/>
          <w:b/>
          <w:bCs/>
          <w:sz w:val="24"/>
          <w:szCs w:val="24"/>
          <w:lang w:val="ru-RU" w:eastAsia="en-US"/>
        </w:rPr>
      </w:r>
      <w:r>
        <w:rPr>
          <w:rFonts w:eastAsia="Calibri"/>
          <w:b/>
          <w:bCs/>
          <w:sz w:val="24"/>
          <w:szCs w:val="24"/>
          <w:lang w:val="ru-RU" w:eastAsia="en-US"/>
        </w:rPr>
      </w:r>
    </w:p>
    <w:p>
      <w:pPr>
        <w:numPr>
          <w:ilvl w:val="1"/>
          <w:numId w:val="12"/>
        </w:numPr>
        <w:jc w:val="both"/>
        <w:rPr>
          <w:rFonts w:eastAsia="Calibri"/>
          <w:bCs/>
          <w:sz w:val="24"/>
          <w:szCs w:val="24"/>
          <w:lang w:val="ru-RU" w:eastAsia="en-US"/>
        </w:rPr>
      </w:pPr>
      <w:r>
        <w:rPr>
          <w:rFonts w:eastAsia="Calibri"/>
          <w:bCs/>
          <w:sz w:val="24"/>
          <w:szCs w:val="24"/>
          <w:lang w:val="ru-RU" w:eastAsia="en-US"/>
        </w:rPr>
        <w:t xml:space="preserve">Место поставки: </w:t>
      </w:r>
      <w:r>
        <w:rPr>
          <w:rFonts w:eastAsia="Calibri"/>
          <w:bCs/>
          <w:sz w:val="24"/>
          <w:szCs w:val="24"/>
          <w:lang w:val="ru-RU" w:eastAsia="en-US"/>
        </w:rPr>
        <w:t xml:space="preserve"> </w:t>
      </w:r>
      <w:r>
        <w:rPr>
          <w:rFonts w:eastAsia="Calibri"/>
          <w:bCs/>
          <w:sz w:val="24"/>
          <w:szCs w:val="24"/>
          <w:lang w:val="ru-RU" w:eastAsia="en-US"/>
        </w:rPr>
        <w:t xml:space="preserve">г. Кызыл (667004,  Республика  Тыва, г. Кызыл, ул. Колхозная 2Б)</w:t>
      </w:r>
      <w:r>
        <w:rPr>
          <w:rFonts w:eastAsia="Calibri"/>
          <w:bCs/>
          <w:sz w:val="24"/>
          <w:szCs w:val="24"/>
          <w:lang w:val="ru-RU" w:eastAsia="en-US"/>
        </w:rPr>
      </w:r>
      <w:r>
        <w:rPr>
          <w:rFonts w:eastAsia="Calibri"/>
          <w:bCs/>
          <w:sz w:val="24"/>
          <w:szCs w:val="24"/>
          <w:lang w:val="ru-RU" w:eastAsia="en-US"/>
        </w:rPr>
      </w:r>
    </w:p>
    <w:p>
      <w:pPr>
        <w:numPr>
          <w:ilvl w:val="1"/>
          <w:numId w:val="12"/>
        </w:numPr>
        <w:jc w:val="both"/>
        <w:rPr>
          <w:rFonts w:eastAsia="Calibri"/>
          <w:bCs/>
          <w:sz w:val="24"/>
          <w:szCs w:val="24"/>
          <w:lang w:val="ru-RU" w:eastAsia="en-US"/>
        </w:rPr>
      </w:pPr>
      <w:r>
        <w:rPr>
          <w:rFonts w:eastAsia="Calibri"/>
          <w:bCs/>
          <w:sz w:val="24"/>
          <w:szCs w:val="24"/>
          <w:lang w:val="ru-RU" w:eastAsia="en-US"/>
        </w:rPr>
        <w:t xml:space="preserve">Поставка транспортных средств (самоходных машин) осуществляется силами и средствами «Поставщика» до места поставки</w:t>
      </w:r>
      <w:r>
        <w:rPr>
          <w:rFonts w:eastAsia="Calibri"/>
          <w:bCs/>
          <w:sz w:val="24"/>
          <w:szCs w:val="24"/>
          <w:lang w:val="ru-RU" w:eastAsia="en-US"/>
        </w:rPr>
        <w:t xml:space="preserve">. </w:t>
      </w:r>
      <w:r>
        <w:rPr>
          <w:rFonts w:eastAsia="Calibri"/>
          <w:bCs/>
          <w:sz w:val="24"/>
          <w:szCs w:val="24"/>
          <w:lang w:val="ru-RU" w:eastAsia="en-US"/>
        </w:rPr>
      </w:r>
      <w:r>
        <w:rPr>
          <w:rFonts w:eastAsia="Calibri"/>
          <w:bCs/>
          <w:sz w:val="24"/>
          <w:szCs w:val="24"/>
          <w:lang w:val="ru-RU" w:eastAsia="en-US"/>
        </w:rPr>
      </w:r>
    </w:p>
    <w:p>
      <w:pPr>
        <w:ind w:firstLine="709"/>
        <w:jc w:val="both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eastAsia="Calibri"/>
          <w:sz w:val="24"/>
          <w:szCs w:val="24"/>
          <w:lang w:val="ru-RU" w:eastAsia="en-US"/>
        </w:rPr>
      </w:pPr>
      <w:r>
        <w:rPr>
          <w:rFonts w:eastAsia="Calibri"/>
          <w:sz w:val="24"/>
          <w:szCs w:val="24"/>
          <w:lang w:val="ru-RU" w:eastAsia="en-US"/>
        </w:rPr>
        <w:t xml:space="preserve">Условия транспортирования, условия и сроки хранения техники и доку</w:t>
      </w:r>
      <w:r>
        <w:rPr>
          <w:rFonts w:eastAsia="Calibri"/>
          <w:sz w:val="24"/>
          <w:szCs w:val="24"/>
          <w:lang w:val="ru-RU" w:eastAsia="en-US"/>
        </w:rPr>
        <w:t xml:space="preserve">ментации должны соответствовать требованиям, указанным в технических условиях изготовителя техники, и другой нормативно-технической документации. Порядок отгрузки и специальные требования должны быть определены в договоре на поставку транспортных средств</w:t>
      </w:r>
      <w:r>
        <w:rPr>
          <w:rFonts w:eastAsia="Calibri"/>
          <w:sz w:val="24"/>
          <w:szCs w:val="24"/>
          <w:lang w:val="ru-RU" w:eastAsia="en-US"/>
        </w:rPr>
        <w:t xml:space="preserve">. </w:t>
      </w:r>
      <w:r>
        <w:rPr>
          <w:rFonts w:eastAsia="Calibri"/>
          <w:sz w:val="24"/>
          <w:szCs w:val="24"/>
          <w:lang w:val="ru-RU" w:eastAsia="en-US"/>
        </w:rPr>
      </w:r>
      <w:r>
        <w:rPr>
          <w:rFonts w:eastAsia="Calibri"/>
          <w:sz w:val="24"/>
          <w:szCs w:val="24"/>
          <w:lang w:val="ru-RU" w:eastAsia="en-US"/>
        </w:rPr>
      </w:r>
    </w:p>
    <w:p>
      <w:pPr>
        <w:numPr>
          <w:ilvl w:val="1"/>
          <w:numId w:val="12"/>
        </w:numPr>
        <w:jc w:val="both"/>
        <w:rPr>
          <w:rFonts w:eastAsia="Calibri"/>
          <w:bCs/>
          <w:sz w:val="24"/>
          <w:szCs w:val="24"/>
          <w:lang w:val="ru-RU" w:eastAsia="en-US"/>
        </w:rPr>
      </w:pPr>
      <w:r>
        <w:rPr>
          <w:rFonts w:eastAsia="Calibri"/>
          <w:bCs/>
          <w:sz w:val="24"/>
          <w:szCs w:val="24"/>
          <w:lang w:val="ru-RU" w:eastAsia="en-US"/>
        </w:rPr>
        <w:t xml:space="preserve">Срок поставки:</w:t>
      </w:r>
      <w:r>
        <w:rPr>
          <w:rFonts w:eastAsia="Calibri"/>
          <w:bCs/>
          <w:sz w:val="24"/>
          <w:szCs w:val="24"/>
          <w:highlight w:val="white"/>
          <w:lang w:val="ru-RU" w:eastAsia="en-US"/>
        </w:rPr>
        <w:t xml:space="preserve"> </w:t>
      </w:r>
      <w:r>
        <w:rPr>
          <w:rFonts w:eastAsia="Calibri"/>
          <w:bCs/>
          <w:sz w:val="24"/>
          <w:szCs w:val="24"/>
          <w:highlight w:val="white"/>
          <w:lang w:val="ru-RU" w:eastAsia="en-US"/>
        </w:rPr>
        <w:t xml:space="preserve">9</w:t>
      </w:r>
      <w:r>
        <w:rPr>
          <w:rFonts w:eastAsia="Calibri"/>
          <w:bCs/>
          <w:sz w:val="24"/>
          <w:szCs w:val="24"/>
          <w:highlight w:val="white"/>
          <w:lang w:val="ru-RU" w:eastAsia="en-US"/>
        </w:rPr>
        <w:t xml:space="preserve">0 календарных дней</w:t>
      </w:r>
      <w:r>
        <w:rPr>
          <w:rFonts w:eastAsia="Calibri"/>
          <w:bCs/>
          <w:sz w:val="24"/>
          <w:szCs w:val="24"/>
          <w:lang w:val="ru-RU" w:eastAsia="en-US"/>
        </w:rPr>
        <w:t xml:space="preserve"> с момента заключения договора на поставку. </w:t>
      </w:r>
      <w:r>
        <w:rPr>
          <w:rFonts w:eastAsia="Calibri"/>
          <w:bCs/>
          <w:sz w:val="24"/>
          <w:szCs w:val="24"/>
          <w:lang w:val="ru-RU" w:eastAsia="en-US"/>
        </w:rPr>
      </w:r>
      <w:r>
        <w:rPr>
          <w:rFonts w:eastAsia="Calibri"/>
          <w:bCs/>
          <w:sz w:val="24"/>
          <w:szCs w:val="24"/>
          <w:lang w:val="ru-RU" w:eastAsia="en-US"/>
        </w:rPr>
      </w:r>
    </w:p>
    <w:p>
      <w:pPr>
        <w:numPr>
          <w:ilvl w:val="0"/>
          <w:numId w:val="12"/>
        </w:numPr>
        <w:rPr>
          <w:rFonts w:eastAsia="Calibri"/>
          <w:b/>
          <w:bCs/>
          <w:sz w:val="24"/>
          <w:szCs w:val="24"/>
          <w:lang w:val="ru-RU" w:eastAsia="en-US"/>
        </w:rPr>
      </w:pPr>
      <w:r>
        <w:rPr>
          <w:rFonts w:eastAsia="Calibri"/>
          <w:b/>
          <w:bCs/>
          <w:sz w:val="24"/>
          <w:szCs w:val="24"/>
          <w:lang w:val="ru-RU" w:eastAsia="en-US"/>
        </w:rPr>
        <w:t xml:space="preserve">Перечень и объемы поставки транспортных средств.</w:t>
      </w:r>
      <w:r>
        <w:rPr>
          <w:rFonts w:eastAsia="Calibri"/>
          <w:b/>
          <w:bCs/>
          <w:sz w:val="24"/>
          <w:szCs w:val="24"/>
          <w:lang w:val="ru-RU" w:eastAsia="en-US"/>
        </w:rPr>
      </w:r>
      <w:r>
        <w:rPr>
          <w:rFonts w:eastAsia="Calibri"/>
          <w:b/>
          <w:bCs/>
          <w:sz w:val="24"/>
          <w:szCs w:val="24"/>
          <w:lang w:val="ru-RU" w:eastAsia="en-US"/>
        </w:rPr>
      </w:r>
    </w:p>
    <w:p>
      <w:pPr>
        <w:ind w:firstLine="709"/>
        <w:jc w:val="both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eastAsia="Calibri"/>
          <w:sz w:val="24"/>
          <w:szCs w:val="24"/>
          <w:lang w:val="ru-RU" w:eastAsia="en-US"/>
        </w:rPr>
      </w:pPr>
      <w:r>
        <w:rPr>
          <w:rFonts w:eastAsia="Calibri"/>
          <w:sz w:val="24"/>
          <w:szCs w:val="24"/>
          <w:lang w:val="ru-RU" w:eastAsia="en-US"/>
        </w:rPr>
      </w:r>
      <w:r>
        <w:rPr>
          <w:rFonts w:eastAsia="Calibri"/>
          <w:sz w:val="24"/>
          <w:szCs w:val="24"/>
          <w:lang w:val="ru-RU" w:eastAsia="en-US"/>
        </w:rPr>
      </w:r>
      <w:r>
        <w:rPr>
          <w:rFonts w:eastAsia="Calibri"/>
          <w:sz w:val="24"/>
          <w:szCs w:val="24"/>
          <w:lang w:val="ru-RU" w:eastAsia="en-US"/>
        </w:rPr>
      </w:r>
    </w:p>
    <w:tbl>
      <w:tblPr>
        <w:tblW w:w="10233" w:type="dxa"/>
        <w:jc w:val="center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498"/>
        <w:gridCol w:w="1758"/>
        <w:gridCol w:w="793"/>
        <w:gridCol w:w="1441"/>
        <w:gridCol w:w="1679"/>
        <w:gridCol w:w="527"/>
        <w:gridCol w:w="527"/>
        <w:gridCol w:w="702"/>
        <w:gridCol w:w="850"/>
        <w:gridCol w:w="709"/>
        <w:gridCol w:w="749"/>
      </w:tblGrid>
      <w:tr>
        <w:tblPrEx/>
        <w:trPr>
          <w:jc w:val="center"/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W w:w="49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Cs w:val="24"/>
                <w:lang w:val="ru-RU" w:eastAsia="en-US"/>
              </w:rPr>
            </w:pPr>
            <w:r>
              <w:rPr>
                <w:rFonts w:eastAsia="Calibri"/>
                <w:bCs/>
                <w:szCs w:val="24"/>
                <w:lang w:val="ru-RU" w:eastAsia="en-US"/>
              </w:rPr>
              <w:t xml:space="preserve">№</w:t>
            </w:r>
            <w:r>
              <w:rPr>
                <w:rFonts w:eastAsia="Calibri"/>
                <w:bCs/>
                <w:szCs w:val="24"/>
                <w:lang w:val="ru-RU" w:eastAsia="en-US"/>
              </w:rPr>
            </w:r>
            <w:r>
              <w:rPr>
                <w:rFonts w:eastAsia="Calibri"/>
                <w:bCs/>
                <w:szCs w:val="24"/>
                <w:lang w:val="ru-RU" w:eastAsia="en-US"/>
              </w:rPr>
            </w:r>
          </w:p>
          <w:p>
            <w:pPr>
              <w:jc w:val="center"/>
              <w:rPr>
                <w:rFonts w:eastAsia="Calibri"/>
                <w:bCs/>
                <w:szCs w:val="24"/>
                <w:lang w:val="ru-RU" w:eastAsia="en-US"/>
              </w:rPr>
            </w:pPr>
            <w:r>
              <w:rPr>
                <w:rFonts w:eastAsia="Calibri"/>
                <w:bCs/>
                <w:szCs w:val="24"/>
                <w:lang w:val="ru-RU" w:eastAsia="en-US"/>
              </w:rPr>
              <w:t xml:space="preserve">п</w:t>
            </w:r>
            <w:r>
              <w:rPr>
                <w:rFonts w:eastAsia="Calibri"/>
                <w:bCs/>
                <w:szCs w:val="24"/>
                <w:lang w:eastAsia="en-US"/>
              </w:rPr>
              <w:t xml:space="preserve">/</w:t>
            </w:r>
            <w:r>
              <w:rPr>
                <w:rFonts w:eastAsia="Calibri"/>
                <w:bCs/>
                <w:szCs w:val="24"/>
                <w:lang w:val="ru-RU" w:eastAsia="en-US"/>
              </w:rPr>
              <w:t xml:space="preserve">п</w:t>
            </w:r>
            <w:r>
              <w:rPr>
                <w:rFonts w:eastAsia="Calibri"/>
                <w:bCs/>
                <w:szCs w:val="24"/>
                <w:lang w:val="ru-RU" w:eastAsia="en-US"/>
              </w:rPr>
            </w:r>
            <w:r>
              <w:rPr>
                <w:rFonts w:eastAsia="Calibri"/>
                <w:bCs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5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val="ru-RU" w:eastAsia="en-US"/>
              </w:rPr>
              <w:t xml:space="preserve">Наименование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val="ru-RU" w:eastAsia="en-US"/>
              </w:rPr>
              <w:t xml:space="preserve">транспортного средства (тип, модель)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0"/>
                <w:szCs w:val="20"/>
                <w:highlight w:val="white"/>
              </w:rPr>
            </w:pPr>
            <w:r>
              <w:rPr>
                <w:rFonts w:eastAsia="Calibri"/>
                <w:sz w:val="20"/>
                <w:szCs w:val="20"/>
                <w:highlight w:val="white"/>
                <w:lang w:val="ru-RU" w:eastAsia="en-US"/>
              </w:rPr>
              <w:t xml:space="preserve">** </w:t>
            </w:r>
            <w:r>
              <w:rPr>
                <w:rFonts w:eastAsia="Calibri"/>
                <w:sz w:val="20"/>
                <w:szCs w:val="20"/>
                <w:highlight w:val="white"/>
                <w:lang w:val="ru-RU" w:eastAsia="en-US"/>
              </w:rPr>
              <w:t xml:space="preserve">Код ОКПД2</w:t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0"/>
                <w:szCs w:val="20"/>
                <w:highlight w:val="white"/>
              </w:rPr>
            </w:pPr>
            <w:r>
              <w:rPr>
                <w:rFonts w:eastAsia="Calibri"/>
                <w:sz w:val="20"/>
                <w:szCs w:val="20"/>
                <w:highlight w:val="white"/>
                <w:lang w:val="ru-RU" w:eastAsia="en-US"/>
              </w:rPr>
              <w:t xml:space="preserve">**</w:t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</w:p>
          <w:p>
            <w:pPr>
              <w:jc w:val="center"/>
              <w:rPr>
                <w:rFonts w:eastAsia="Calibri"/>
                <w:sz w:val="20"/>
                <w:szCs w:val="20"/>
                <w:highlight w:val="white"/>
              </w:rPr>
            </w:pPr>
            <w:r>
              <w:rPr>
                <w:rFonts w:eastAsia="Calibri"/>
                <w:sz w:val="20"/>
                <w:szCs w:val="20"/>
                <w:highlight w:val="white"/>
                <w:lang w:val="ru-RU" w:eastAsia="en-US"/>
              </w:rPr>
            </w:r>
            <w:r>
              <w:rPr>
                <w:rFonts w:ascii="Times New Roman" w:hAnsi="Times New Roman" w:eastAsia="Times New Roman" w:cs="Times New Roman"/>
                <w:color w:val="1f2e3c"/>
                <w:sz w:val="20"/>
                <w:szCs w:val="20"/>
                <w:highlight w:val="white"/>
              </w:rPr>
              <w:t xml:space="preserve">Применение </w:t>
            </w:r>
            <w:r>
              <w:rPr>
                <w:rFonts w:ascii="Times New Roman" w:hAnsi="Times New Roman" w:eastAsia="Times New Roman" w:cs="Times New Roman"/>
                <w:color w:val="1f2e3c"/>
                <w:sz w:val="20"/>
                <w:szCs w:val="20"/>
                <w:highlight w:val="white"/>
              </w:rPr>
              <w:t xml:space="preserve">ПП № 1875 (запрет/ ограничение/ преимущество/ не применяется)</w:t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0"/>
                <w:szCs w:val="20"/>
                <w:highlight w:val="white"/>
              </w:rPr>
            </w:pPr>
            <w:r>
              <w:rPr>
                <w:rFonts w:eastAsia="Calibri"/>
                <w:sz w:val="20"/>
                <w:szCs w:val="20"/>
                <w:highlight w:val="white"/>
                <w:lang w:val="ru-RU" w:eastAsia="en-US"/>
              </w:rPr>
              <w:t xml:space="preserve">** </w:t>
            </w:r>
            <w:r>
              <w:rPr>
                <w:rFonts w:ascii="Times New Roman" w:hAnsi="Times New Roman" w:eastAsia="Times New Roman" w:cs="Times New Roman"/>
                <w:color w:val="1f2e3c"/>
                <w:sz w:val="20"/>
                <w:szCs w:val="20"/>
                <w:highlight w:val="white"/>
              </w:rPr>
              <w:t xml:space="preserve">Основание не применения ПП № 1875 - ссылка на пункт ПП и пояснения (заполняется</w:t>
            </w:r>
            <w:r>
              <w:rPr>
                <w:rFonts w:ascii="Times New Roman" w:hAnsi="Times New Roman" w:eastAsia="Times New Roman" w:cs="Times New Roman"/>
                <w:color w:val="1f2e3c"/>
                <w:sz w:val="20"/>
                <w:szCs w:val="20"/>
                <w:highlight w:val="white"/>
              </w:rPr>
              <w:t xml:space="preserve"> если ПП № 1875 не применяется)</w:t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val="ru-RU" w:eastAsia="en-US"/>
              </w:rPr>
              <w:t xml:space="preserve">Ед. изм.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val="ru-RU" w:eastAsia="en-US"/>
              </w:rPr>
              <w:t xml:space="preserve">Кол-во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val="ru-RU" w:eastAsia="en-US"/>
              </w:rPr>
              <w:t xml:space="preserve">Планируемая (предельная) цена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val="ru-RU" w:eastAsia="en-US"/>
              </w:rPr>
              <w:t xml:space="preserve">договора, руб.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814"/>
        </w:trPr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Cs/>
                <w:szCs w:val="24"/>
                <w:lang w:val="ru-RU" w:eastAsia="en-US"/>
              </w:rPr>
            </w:pPr>
            <w:r>
              <w:rPr>
                <w:rFonts w:eastAsia="Calibri"/>
                <w:bCs/>
                <w:szCs w:val="24"/>
                <w:lang w:val="ru-RU" w:eastAsia="en-US"/>
              </w:rPr>
            </w:r>
            <w:r>
              <w:rPr>
                <w:rFonts w:eastAsia="Calibri"/>
                <w:bCs/>
                <w:szCs w:val="24"/>
                <w:lang w:val="ru-RU" w:eastAsia="en-US"/>
              </w:rPr>
            </w:r>
            <w:r>
              <w:rPr>
                <w:rFonts w:eastAsia="Calibri"/>
                <w:bCs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5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Cs/>
                <w:szCs w:val="24"/>
                <w:lang w:val="ru-RU" w:eastAsia="en-US"/>
              </w:rPr>
            </w:pPr>
            <w:r>
              <w:rPr>
                <w:rFonts w:eastAsia="Calibri"/>
                <w:bCs/>
                <w:szCs w:val="24"/>
                <w:lang w:val="ru-RU" w:eastAsia="en-US"/>
              </w:rPr>
            </w:r>
            <w:r>
              <w:rPr>
                <w:rFonts w:eastAsia="Calibri"/>
                <w:bCs/>
                <w:szCs w:val="24"/>
                <w:lang w:val="ru-RU" w:eastAsia="en-US"/>
              </w:rPr>
            </w:r>
            <w:r>
              <w:rPr>
                <w:rFonts w:eastAsia="Calibri"/>
                <w:bCs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Cs/>
                <w:szCs w:val="24"/>
                <w:lang w:val="ru-RU" w:eastAsia="en-US"/>
              </w:rPr>
            </w:pPr>
            <w:r>
              <w:rPr>
                <w:rFonts w:eastAsia="Calibri"/>
                <w:bCs/>
                <w:szCs w:val="24"/>
                <w:lang w:val="ru-RU" w:eastAsia="en-US"/>
              </w:rPr>
            </w:r>
            <w:r>
              <w:rPr>
                <w:rFonts w:eastAsia="Calibri"/>
                <w:bCs/>
                <w:szCs w:val="24"/>
                <w:lang w:val="ru-RU" w:eastAsia="en-US"/>
              </w:rPr>
            </w:r>
            <w:r>
              <w:rPr>
                <w:rFonts w:eastAsia="Calibri"/>
                <w:bCs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Cs/>
                <w:szCs w:val="24"/>
                <w:lang w:val="ru-RU" w:eastAsia="en-US"/>
              </w:rPr>
            </w:pPr>
            <w:r>
              <w:rPr>
                <w:rFonts w:eastAsia="Calibri"/>
                <w:bCs/>
                <w:szCs w:val="24"/>
                <w:lang w:val="ru-RU" w:eastAsia="en-US"/>
              </w:rPr>
            </w:r>
            <w:r>
              <w:rPr>
                <w:rFonts w:eastAsia="Calibri"/>
                <w:bCs/>
                <w:szCs w:val="24"/>
                <w:lang w:val="ru-RU" w:eastAsia="en-US"/>
              </w:rPr>
            </w:r>
            <w:r>
              <w:rPr>
                <w:rFonts w:eastAsia="Calibri"/>
                <w:bCs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val="ru-RU" w:eastAsia="en-US"/>
              </w:rPr>
              <w:t xml:space="preserve">Цена за</w:t>
            </w:r>
            <w:r>
              <w:rPr>
                <w:rFonts w:eastAsia="Calibri"/>
                <w:bCs/>
                <w:sz w:val="20"/>
                <w:szCs w:val="20"/>
                <w:lang w:val="ru-RU" w:eastAsia="en-US"/>
              </w:rPr>
              <w:br w:type="textWrapping" w:clear="all"/>
              <w:t xml:space="preserve">ед. без НДС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Cs w:val="24"/>
                <w:lang w:val="ru-RU" w:eastAsia="en-US"/>
              </w:rPr>
            </w:pPr>
            <w:r>
              <w:rPr>
                <w:rFonts w:eastAsia="Calibri"/>
                <w:bCs/>
                <w:szCs w:val="24"/>
                <w:lang w:val="ru-RU" w:eastAsia="en-US"/>
              </w:rPr>
              <w:t xml:space="preserve">Цена за</w:t>
            </w:r>
            <w:r>
              <w:rPr>
                <w:rFonts w:eastAsia="Calibri"/>
                <w:bCs/>
                <w:szCs w:val="24"/>
                <w:lang w:val="ru-RU" w:eastAsia="en-US"/>
              </w:rPr>
              <w:br w:type="textWrapping" w:clear="all"/>
              <w:t xml:space="preserve">ед. с</w:t>
            </w:r>
            <w:r>
              <w:rPr>
                <w:rFonts w:eastAsia="Calibri"/>
                <w:bCs/>
                <w:szCs w:val="24"/>
                <w:lang w:val="ru-RU" w:eastAsia="en-US"/>
              </w:rPr>
              <w:br w:type="textWrapping" w:clear="all"/>
              <w:t xml:space="preserve">НДС</w:t>
            </w:r>
            <w:r>
              <w:rPr>
                <w:rFonts w:eastAsia="Calibri"/>
                <w:bCs/>
                <w:szCs w:val="24"/>
                <w:lang w:val="ru-RU" w:eastAsia="en-US"/>
              </w:rPr>
            </w:r>
            <w:r>
              <w:rPr>
                <w:rFonts w:eastAsia="Calibri"/>
                <w:bCs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Cs w:val="24"/>
                <w:lang w:val="ru-RU" w:eastAsia="en-US"/>
              </w:rPr>
            </w:pPr>
            <w:r>
              <w:rPr>
                <w:rFonts w:eastAsia="Calibri"/>
                <w:bCs/>
                <w:szCs w:val="24"/>
                <w:lang w:val="ru-RU" w:eastAsia="en-US"/>
              </w:rPr>
              <w:t xml:space="preserve">Всего без НДС</w:t>
            </w:r>
            <w:r>
              <w:rPr>
                <w:rFonts w:eastAsia="Calibri"/>
                <w:bCs/>
                <w:szCs w:val="24"/>
                <w:lang w:val="ru-RU" w:eastAsia="en-US"/>
              </w:rPr>
            </w:r>
            <w:r>
              <w:rPr>
                <w:rFonts w:eastAsia="Calibri"/>
                <w:bCs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Cs w:val="24"/>
                <w:lang w:val="ru-RU" w:eastAsia="en-US"/>
              </w:rPr>
            </w:pPr>
            <w:r>
              <w:rPr>
                <w:rFonts w:eastAsia="Calibri"/>
                <w:bCs/>
                <w:szCs w:val="24"/>
                <w:lang w:val="ru-RU" w:eastAsia="en-US"/>
              </w:rPr>
              <w:t xml:space="preserve">Всего с НДС</w:t>
            </w:r>
            <w:r>
              <w:rPr>
                <w:rFonts w:eastAsia="Calibri"/>
                <w:bCs/>
                <w:szCs w:val="24"/>
                <w:lang w:val="ru-RU" w:eastAsia="en-US"/>
              </w:rPr>
            </w:r>
            <w:r>
              <w:rPr>
                <w:rFonts w:eastAsia="Calibri"/>
                <w:bCs/>
                <w:szCs w:val="24"/>
                <w:lang w:val="ru-RU" w:eastAsia="en-US"/>
              </w:rPr>
            </w:r>
          </w:p>
        </w:tc>
      </w:tr>
      <w:tr>
        <w:tblPrEx/>
        <w:trPr>
          <w:jc w:val="center"/>
          <w:trHeight w:val="3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8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85" w:leader="none"/>
              </w:tabs>
              <w:rPr>
                <w:rFonts w:eastAsia="Calibri"/>
                <w:szCs w:val="24"/>
                <w:lang w:val="ru-RU" w:eastAsia="en-US"/>
              </w:rPr>
            </w:pPr>
            <w:r>
              <w:rPr>
                <w:rFonts w:eastAsia="Calibri"/>
                <w:szCs w:val="24"/>
                <w:lang w:val="ru-RU" w:eastAsia="en-US"/>
              </w:rPr>
              <w:t xml:space="preserve">1.</w:t>
            </w:r>
            <w:r>
              <w:rPr>
                <w:rFonts w:eastAsia="Calibri"/>
                <w:szCs w:val="24"/>
                <w:lang w:val="ru-RU" w:eastAsia="en-US"/>
              </w:rPr>
            </w:r>
            <w:r>
              <w:rPr>
                <w:rFonts w:eastAsia="Calibri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58" w:type="dxa"/>
            <w:vAlign w:val="center"/>
            <w:textDirection w:val="lrTb"/>
            <w:noWrap w:val="false"/>
          </w:tcPr>
          <w:p>
            <w:pPr>
              <w:pStyle w:val="741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Автогидроподъемник </w:t>
            </w:r>
            <w:r>
              <w:rPr>
                <w:sz w:val="22"/>
                <w:szCs w:val="22"/>
                <w:lang w:val="ru-RU"/>
              </w:rPr>
              <w:t xml:space="preserve">ПСС-131.18Э  на шасси  ГАЗ-C42A43</w:t>
            </w:r>
            <w:r>
              <w:rPr>
                <w:sz w:val="22"/>
                <w:szCs w:val="22"/>
                <w:lang w:val="ru-RU"/>
              </w:rPr>
            </w:r>
            <w:r>
              <w:rPr>
                <w:sz w:val="22"/>
                <w:szCs w:val="22"/>
                <w:lang w:val="ru-RU"/>
              </w:rPr>
            </w:r>
          </w:p>
          <w:p>
            <w:pPr>
              <w:rPr>
                <w:rFonts w:eastAsia="Calibri"/>
                <w:i/>
                <w:szCs w:val="24"/>
                <w:lang w:val="ru-RU" w:eastAsia="en-US"/>
              </w:rPr>
            </w:pPr>
            <w:r>
              <w:rPr>
                <w:i/>
                <w:szCs w:val="24"/>
                <w:lang w:val="ru-RU"/>
              </w:rPr>
            </w:r>
            <w:r>
              <w:rPr>
                <w:rFonts w:eastAsia="Calibri"/>
                <w:i/>
                <w:szCs w:val="24"/>
                <w:lang w:val="ru-RU" w:eastAsia="en-US"/>
              </w:rPr>
            </w:r>
            <w:r>
              <w:rPr>
                <w:rFonts w:eastAsia="Calibri"/>
                <w:i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  <w14:ligatures w14:val="none"/>
              </w:rPr>
            </w:pPr>
            <w:r>
              <w:rPr>
                <w:sz w:val="22"/>
                <w:szCs w:val="22"/>
                <w:highlight w:val="white"/>
                <w:lang w:val="ru-RU" w:eastAsia="en-US"/>
              </w:rPr>
            </w:r>
            <w:r>
              <w:rPr>
                <w:sz w:val="22"/>
                <w:szCs w:val="22"/>
                <w:highlight w:val="white"/>
                <w:lang w:val="ru-RU" w:eastAsia="en-US"/>
              </w:rPr>
              <w:t xml:space="preserve">29.10.59.270</w:t>
            </w:r>
            <w:r>
              <w:rPr>
                <w:sz w:val="22"/>
                <w:szCs w:val="22"/>
                <w:highlight w:val="white"/>
                <w14:ligatures w14:val="none"/>
              </w:rPr>
            </w:r>
            <w:r>
              <w:rPr>
                <w:sz w:val="22"/>
                <w:szCs w:val="22"/>
                <w:highlight w:val="white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  <w14:ligatures w14:val="none"/>
              </w:rPr>
            </w:pPr>
            <w:r>
              <w:rPr>
                <w:sz w:val="22"/>
                <w:szCs w:val="22"/>
                <w:highlight w:val="white"/>
                <w:lang w:val="ru-RU" w:eastAsia="en-US"/>
              </w:rPr>
              <w:t xml:space="preserve">запрет</w:t>
            </w:r>
            <w:r>
              <w:rPr>
                <w:sz w:val="22"/>
                <w:szCs w:val="22"/>
                <w:highlight w:val="white"/>
                <w14:ligatures w14:val="none"/>
              </w:rPr>
            </w:r>
            <w:r>
              <w:rPr>
                <w:sz w:val="22"/>
                <w:szCs w:val="22"/>
                <w:highlight w:val="white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 xml:space="preserve">-</w:t>
            </w:r>
            <w:r>
              <w:rPr>
                <w:rFonts w:eastAsia="Calibri"/>
                <w:lang w:val="ru-RU" w:eastAsia="en-US"/>
              </w:rPr>
            </w:r>
            <w:r>
              <w:rPr>
                <w:rFonts w:eastAsia="Calibri"/>
                <w:lang w:val="ru-RU"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4"/>
                <w:lang w:val="ru-RU" w:eastAsia="en-US"/>
              </w:rPr>
            </w:pPr>
            <w:r>
              <w:rPr>
                <w:rFonts w:eastAsia="Calibri"/>
                <w:szCs w:val="24"/>
                <w:lang w:val="ru-RU" w:eastAsia="en-US"/>
              </w:rPr>
              <w:t xml:space="preserve">шт.</w:t>
            </w:r>
            <w:r>
              <w:rPr>
                <w:rFonts w:eastAsia="Calibri"/>
                <w:szCs w:val="24"/>
                <w:lang w:val="ru-RU" w:eastAsia="en-US"/>
              </w:rPr>
            </w:r>
            <w:r>
              <w:rPr>
                <w:rFonts w:eastAsia="Calibri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7" w:type="dxa"/>
            <w:vAlign w:val="center"/>
            <w:textDirection w:val="lrTb"/>
            <w:noWrap w:val="false"/>
          </w:tcPr>
          <w:p>
            <w:pPr>
              <w:jc w:val="center"/>
              <w:rPr>
                <w:i w:val="0"/>
                <w:iCs w:val="0"/>
                <w:szCs w:val="24"/>
              </w:rPr>
            </w:pPr>
            <w:r>
              <w:rPr>
                <w:i w:val="0"/>
                <w:iCs w:val="0"/>
                <w:szCs w:val="24"/>
                <w:lang w:val="ru-RU"/>
              </w:rPr>
              <w:t xml:space="preserve">1</w:t>
            </w:r>
            <w:r>
              <w:rPr>
                <w:i w:val="0"/>
                <w:iCs w:val="0"/>
                <w:szCs w:val="24"/>
              </w:rPr>
            </w:r>
            <w:r>
              <w:rPr>
                <w:i w:val="0"/>
                <w:iCs w:val="0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2" w:type="dxa"/>
            <w:vAlign w:val="center"/>
            <w:textDirection w:val="lrTb"/>
            <w:noWrap w:val="false"/>
          </w:tcPr>
          <w:p>
            <w:pPr>
              <w:jc w:val="center"/>
              <w:rPr>
                <w:i w:val="0"/>
                <w:iCs w:val="0"/>
                <w:szCs w:val="24"/>
              </w:rPr>
            </w:pPr>
            <w:r>
              <w:rPr>
                <w:i w:val="0"/>
                <w:iCs w:val="0"/>
                <w:szCs w:val="24"/>
                <w:lang w:val="ru-RU"/>
              </w:rPr>
              <w:t xml:space="preserve">12 733 333,33</w:t>
            </w:r>
            <w:r>
              <w:rPr>
                <w:i w:val="0"/>
                <w:iCs w:val="0"/>
                <w:szCs w:val="24"/>
              </w:rPr>
            </w:r>
            <w:r>
              <w:rPr>
                <w:i w:val="0"/>
                <w:iCs w:val="0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i w:val="0"/>
                <w:iCs w:val="0"/>
                <w:szCs w:val="24"/>
              </w:rPr>
            </w:pPr>
            <w:r>
              <w:rPr>
                <w:i w:val="0"/>
                <w:iCs w:val="0"/>
                <w:szCs w:val="24"/>
                <w:lang w:val="ru-RU"/>
              </w:rPr>
              <w:t xml:space="preserve">15 280 000,00</w:t>
            </w:r>
            <w:r>
              <w:rPr>
                <w:i w:val="0"/>
                <w:iCs w:val="0"/>
                <w:szCs w:val="24"/>
              </w:rPr>
            </w:r>
            <w:r>
              <w:rPr>
                <w:i w:val="0"/>
                <w:iCs w:val="0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i w:val="0"/>
                <w:iCs w:val="0"/>
                <w:szCs w:val="24"/>
              </w:rPr>
            </w:pPr>
            <w:r>
              <w:rPr>
                <w:i w:val="0"/>
                <w:iCs w:val="0"/>
                <w:szCs w:val="24"/>
                <w:lang w:val="ru-RU"/>
              </w:rPr>
              <w:t xml:space="preserve">12 733 333,33</w:t>
            </w:r>
            <w:r>
              <w:rPr>
                <w:i w:val="0"/>
                <w:iCs w:val="0"/>
                <w:szCs w:val="24"/>
              </w:rPr>
            </w:r>
            <w:r>
              <w:rPr>
                <w:i w:val="0"/>
                <w:iCs w:val="0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9" w:type="dxa"/>
            <w:vAlign w:val="center"/>
            <w:textDirection w:val="lrTb"/>
            <w:noWrap w:val="false"/>
          </w:tcPr>
          <w:p>
            <w:pPr>
              <w:jc w:val="center"/>
              <w:rPr>
                <w:i w:val="0"/>
                <w:iCs w:val="0"/>
                <w:szCs w:val="24"/>
              </w:rPr>
            </w:pPr>
            <w:r>
              <w:rPr>
                <w:i w:val="0"/>
                <w:iCs w:val="0"/>
                <w:szCs w:val="24"/>
                <w:lang w:val="ru-RU"/>
              </w:rPr>
              <w:t xml:space="preserve">15 280 000,00</w:t>
            </w:r>
            <w:r>
              <w:rPr>
                <w:i w:val="0"/>
                <w:iCs w:val="0"/>
                <w:szCs w:val="24"/>
              </w:rPr>
            </w:r>
            <w:r>
              <w:rPr>
                <w:i w:val="0"/>
                <w:iCs w:val="0"/>
                <w:szCs w:val="24"/>
              </w:rPr>
            </w:r>
          </w:p>
        </w:tc>
      </w:tr>
      <w:tr>
        <w:tblPrEx/>
        <w:trPr>
          <w:jc w:val="center"/>
          <w:trHeight w:val="385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56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Cs w:val="24"/>
                <w:lang w:val="ru-RU"/>
              </w:rPr>
            </w:pPr>
            <w:r>
              <w:rPr>
                <w:rFonts w:eastAsia="Calibri"/>
                <w:bCs/>
                <w:szCs w:val="24"/>
                <w:lang w:val="ru-RU" w:eastAsia="en-US"/>
              </w:rPr>
              <w:t xml:space="preserve">Итого планируемая (предельная) цена закупки</w:t>
            </w:r>
            <w:r>
              <w:rPr>
                <w:i/>
                <w:szCs w:val="24"/>
                <w:lang w:val="ru-RU"/>
              </w:rPr>
            </w:r>
            <w:r>
              <w:rPr>
                <w:i/>
                <w:szCs w:val="24"/>
                <w:lang w:val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</w:r>
            <w:r>
              <w:rPr>
                <w:rFonts w:eastAsia="Calibri"/>
                <w:lang w:val="ru-RU" w:eastAsia="en-US"/>
              </w:rPr>
            </w:r>
            <w:r>
              <w:rPr>
                <w:rFonts w:eastAsia="Calibri"/>
                <w:lang w:val="ru-RU"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</w:r>
            <w:r>
              <w:rPr>
                <w:rFonts w:eastAsia="Calibri"/>
                <w:lang w:val="ru-RU" w:eastAsia="en-US"/>
              </w:rPr>
            </w:r>
            <w:r>
              <w:rPr>
                <w:rFonts w:eastAsia="Calibri"/>
                <w:lang w:val="ru-RU"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</w:r>
            <w:r>
              <w:rPr>
                <w:rFonts w:eastAsia="Calibri"/>
                <w:lang w:val="ru-RU" w:eastAsia="en-US"/>
              </w:rPr>
            </w:r>
            <w:r>
              <w:rPr>
                <w:rFonts w:eastAsia="Calibri"/>
                <w:lang w:val="ru-RU"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4"/>
                <w:lang w:val="ru-RU" w:eastAsia="en-US"/>
              </w:rPr>
            </w:pPr>
            <w:r>
              <w:rPr>
                <w:rFonts w:eastAsia="Calibri"/>
                <w:szCs w:val="24"/>
                <w:lang w:val="ru-RU" w:eastAsia="en-US"/>
              </w:rPr>
            </w:r>
            <w:r>
              <w:rPr>
                <w:rFonts w:eastAsia="Calibri"/>
                <w:szCs w:val="24"/>
                <w:lang w:val="ru-RU" w:eastAsia="en-US"/>
              </w:rPr>
            </w:r>
            <w:r>
              <w:rPr>
                <w:rFonts w:eastAsia="Calibri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7" w:type="dxa"/>
            <w:vAlign w:val="center"/>
            <w:textDirection w:val="lrTb"/>
            <w:noWrap w:val="false"/>
          </w:tcPr>
          <w:p>
            <w:pPr>
              <w:jc w:val="center"/>
              <w:rPr>
                <w:i w:val="0"/>
                <w:iCs w:val="0"/>
                <w:szCs w:val="24"/>
              </w:rPr>
            </w:pPr>
            <w:r>
              <w:rPr>
                <w:i w:val="0"/>
                <w:iCs w:val="0"/>
                <w:szCs w:val="24"/>
                <w:lang w:val="ru-RU"/>
              </w:rPr>
              <w:t xml:space="preserve">1</w:t>
            </w:r>
            <w:r>
              <w:rPr>
                <w:i w:val="0"/>
                <w:iCs w:val="0"/>
                <w:szCs w:val="24"/>
              </w:rPr>
            </w:r>
            <w:r>
              <w:rPr>
                <w:i w:val="0"/>
                <w:iCs w:val="0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2" w:type="dxa"/>
            <w:vAlign w:val="center"/>
            <w:textDirection w:val="lrTb"/>
            <w:noWrap w:val="false"/>
          </w:tcPr>
          <w:p>
            <w:pPr>
              <w:jc w:val="center"/>
              <w:rPr>
                <w:i w:val="0"/>
                <w:iCs w:val="0"/>
                <w:szCs w:val="24"/>
              </w:rPr>
            </w:pPr>
            <w:r>
              <w:rPr>
                <w:i w:val="0"/>
                <w:iCs w:val="0"/>
                <w:szCs w:val="24"/>
                <w:lang w:val="ru-RU"/>
              </w:rPr>
              <w:t xml:space="preserve">12 733 333,33</w:t>
            </w:r>
            <w:r>
              <w:rPr>
                <w:i w:val="0"/>
                <w:iCs w:val="0"/>
                <w:szCs w:val="24"/>
              </w:rPr>
            </w:r>
            <w:r>
              <w:rPr>
                <w:i w:val="0"/>
                <w:iCs w:val="0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i w:val="0"/>
                <w:iCs w:val="0"/>
                <w:szCs w:val="24"/>
              </w:rPr>
            </w:pPr>
            <w:r>
              <w:rPr>
                <w:i w:val="0"/>
                <w:iCs w:val="0"/>
                <w:szCs w:val="24"/>
                <w:lang w:val="ru-RU"/>
              </w:rPr>
              <w:t xml:space="preserve">15 280 000,00</w:t>
            </w:r>
            <w:r>
              <w:rPr>
                <w:i w:val="0"/>
                <w:iCs w:val="0"/>
                <w:szCs w:val="24"/>
              </w:rPr>
            </w:r>
            <w:r>
              <w:rPr>
                <w:i w:val="0"/>
                <w:iCs w:val="0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i w:val="0"/>
                <w:iCs w:val="0"/>
                <w:szCs w:val="24"/>
              </w:rPr>
            </w:pPr>
            <w:r>
              <w:rPr>
                <w:i w:val="0"/>
                <w:iCs w:val="0"/>
                <w:szCs w:val="24"/>
                <w:lang w:val="ru-RU"/>
              </w:rPr>
              <w:t xml:space="preserve">12 733 333,33</w:t>
            </w:r>
            <w:r>
              <w:rPr>
                <w:i w:val="0"/>
                <w:iCs w:val="0"/>
                <w:szCs w:val="24"/>
              </w:rPr>
            </w:r>
            <w:r>
              <w:rPr>
                <w:i w:val="0"/>
                <w:iCs w:val="0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9" w:type="dxa"/>
            <w:vAlign w:val="center"/>
            <w:textDirection w:val="lrTb"/>
            <w:noWrap w:val="false"/>
          </w:tcPr>
          <w:p>
            <w:pPr>
              <w:jc w:val="center"/>
              <w:rPr>
                <w:i w:val="0"/>
                <w:iCs w:val="0"/>
                <w:szCs w:val="24"/>
              </w:rPr>
            </w:pPr>
            <w:r>
              <w:rPr>
                <w:i w:val="0"/>
                <w:iCs w:val="0"/>
                <w:szCs w:val="24"/>
                <w:lang w:val="ru-RU"/>
              </w:rPr>
              <w:t xml:space="preserve">15 280 000,00</w:t>
            </w:r>
            <w:r>
              <w:rPr>
                <w:i w:val="0"/>
                <w:iCs w:val="0"/>
                <w:szCs w:val="24"/>
              </w:rPr>
            </w:r>
            <w:r>
              <w:rPr>
                <w:i w:val="0"/>
                <w:iCs w:val="0"/>
                <w:szCs w:val="24"/>
              </w:rPr>
            </w:r>
          </w:p>
        </w:tc>
      </w:tr>
    </w:tbl>
    <w:p>
      <w:pPr>
        <w:ind w:firstLine="709"/>
        <w:jc w:val="both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eastAsia="Calibri"/>
          <w:sz w:val="24"/>
          <w:szCs w:val="24"/>
          <w:lang w:val="ru-RU" w:eastAsia="en-US"/>
        </w:rPr>
      </w:pPr>
      <w:r>
        <w:rPr>
          <w:rFonts w:eastAsia="Calibri"/>
          <w:sz w:val="24"/>
          <w:szCs w:val="24"/>
          <w:lang w:val="ru-RU" w:eastAsia="en-US"/>
        </w:rPr>
      </w:r>
      <w:r>
        <w:rPr>
          <w:rFonts w:eastAsia="Calibri"/>
          <w:sz w:val="24"/>
          <w:szCs w:val="24"/>
          <w:lang w:val="ru-RU" w:eastAsia="en-US"/>
        </w:rPr>
      </w:r>
      <w:r>
        <w:rPr>
          <w:rFonts w:eastAsia="Calibri"/>
          <w:sz w:val="24"/>
          <w:szCs w:val="24"/>
          <w:lang w:val="ru-RU" w:eastAsia="en-US"/>
        </w:rPr>
      </w:r>
    </w:p>
    <w:p>
      <w:pPr>
        <w:numPr>
          <w:ilvl w:val="1"/>
          <w:numId w:val="12"/>
        </w:numPr>
        <w:jc w:val="both"/>
        <w:rPr>
          <w:rFonts w:eastAsia="Calibri"/>
          <w:bCs/>
          <w:sz w:val="24"/>
          <w:szCs w:val="24"/>
          <w:lang w:val="ru-RU" w:eastAsia="en-US"/>
        </w:rPr>
      </w:pPr>
      <w:r>
        <w:rPr>
          <w:rFonts w:eastAsia="Calibri"/>
          <w:bCs/>
          <w:sz w:val="24"/>
          <w:szCs w:val="24"/>
          <w:lang w:val="ru-RU" w:eastAsia="en-US"/>
        </w:rPr>
      </w:r>
      <w:r>
        <w:rPr>
          <w:sz w:val="24"/>
          <w:szCs w:val="24"/>
          <w:rtl w:val="0"/>
        </w:rPr>
        <w:t xml:space="preserve">Все нал</w:t>
      </w:r>
      <w:r>
        <w:rPr>
          <w:sz w:val="24"/>
          <w:szCs w:val="24"/>
          <w:rtl w:val="0"/>
        </w:rPr>
        <w:t xml:space="preserve">оги, сборы, отчисления и другие платежи, включая таможенные платежи и сборы, расходы на транспортировку транспортных средств до места поставки и ее погрузку, стоимость упаковки, гарантийные обязательства  включены в стоимость заявки/предложения участника</w:t>
      </w:r>
      <w:r>
        <w:rPr>
          <w:rFonts w:eastAsia="Calibri"/>
          <w:bCs/>
          <w:sz w:val="24"/>
          <w:szCs w:val="24"/>
          <w:lang w:val="ru-RU" w:eastAsia="en-US"/>
        </w:rPr>
        <w:t xml:space="preserve">. </w:t>
      </w:r>
      <w:r>
        <w:rPr>
          <w:rFonts w:eastAsia="Calibri"/>
          <w:bCs/>
          <w:sz w:val="24"/>
          <w:szCs w:val="24"/>
          <w:lang w:val="ru-RU" w:eastAsia="en-US"/>
        </w:rPr>
      </w:r>
      <w:r>
        <w:rPr>
          <w:rFonts w:eastAsia="Calibri"/>
          <w:bCs/>
          <w:sz w:val="24"/>
          <w:szCs w:val="24"/>
          <w:lang w:val="ru-RU" w:eastAsia="en-US"/>
        </w:rPr>
      </w:r>
    </w:p>
    <w:p>
      <w:pPr>
        <w:numPr>
          <w:ilvl w:val="1"/>
          <w:numId w:val="12"/>
        </w:numPr>
        <w:rPr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 w:eastAsia="en-US"/>
        </w:rPr>
        <w:t xml:space="preserve">Технические характеристики, требования к комплектации: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ind w:left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Style w:val="954"/>
        <w:tblW w:w="1048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3397"/>
        <w:gridCol w:w="3402"/>
        <w:gridCol w:w="3686"/>
      </w:tblGrid>
      <w:tr>
        <w:tblPrEx/>
        <w:trPr>
          <w:cantSplit w:val="false"/>
          <w:trHeight w:val="113"/>
        </w:trPr>
        <w:tc>
          <w:tcPr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rtl w:val="0"/>
              </w:rPr>
              <w:t xml:space="preserve">Наименование показателей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rtl w:val="0"/>
              </w:rPr>
              <w:t xml:space="preserve">Значение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rtl w:val="0"/>
              </w:rPr>
              <w:t xml:space="preserve">Предлагаемые участником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113"/>
        </w:trPr>
        <w:tc>
          <w:tcPr>
            <w:gridSpan w:val="3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Базовое шасси: ГАЗ-</w:t>
            </w:r>
            <w:r>
              <w:rPr>
                <w:sz w:val="22"/>
                <w:szCs w:val="22"/>
                <w:lang w:val="ru-RU"/>
              </w:rPr>
              <w:t xml:space="preserve">C42A43</w:t>
            </w:r>
            <w:r>
              <w:rPr>
                <w:sz w:val="24"/>
                <w:szCs w:val="24"/>
                <w:rtl w:val="0"/>
              </w:rPr>
              <w:t xml:space="preserve"> «Садко NEXT»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113"/>
        </w:trPr>
        <w:tc>
          <w:tcPr>
            <w:gridSpan w:val="3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Колёсная формула: 4х4, односкатная задняя шиновка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112"/>
        </w:trPr>
        <w:tc>
          <w:tcPr>
            <w:gridSpan w:val="3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Число мест (водитель+пассажиры): 1+6, двухрядная кабина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gridSpan w:val="3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Двигатель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Тип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Дизельный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Мощность</w:t>
            </w:r>
            <w:r>
              <w:rPr>
                <w:sz w:val="24"/>
                <w:szCs w:val="24"/>
                <w:rtl w:val="0"/>
                <w:lang w:val="ru-RU"/>
              </w:rPr>
              <w:t xml:space="preserve">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148,9 л.с.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Рабочий объём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4433 куб.см.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94"/>
        </w:trPr>
        <w:tc>
          <w:tcPr>
            <w:gridSpan w:val="3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Размеры, мм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База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4515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Колея передних колёс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1820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Колея задних колёс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1770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94"/>
        </w:trPr>
        <w:tc>
          <w:tcPr>
            <w:gridSpan w:val="3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Максимальная технически допустимая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6850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gridSpan w:val="3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Прочие характеристики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ГУР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АБС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КПП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Механическая, 5-ти ступенчатая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0" w:type="auto"/>
            <w:vMerge w:val="restart"/>
            <w:textDirection w:val="lrTb"/>
            <w:noWrap w:val="false"/>
          </w:tcPr>
          <w:p>
            <w:pPr>
              <w:pStyle w:val="741"/>
              <w:jc w:val="lef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Цвет кабины</w:t>
            </w:r>
            <w:r>
              <w:rPr>
                <w:color w:val="000000"/>
                <w:sz w:val="24"/>
                <w:szCs w:val="24"/>
                <w:lang w:val="ru-RU"/>
              </w:rPr>
            </w: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pStyle w:val="741"/>
              <w:jc w:val="lef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Белый</w:t>
            </w:r>
            <w:r>
              <w:rPr>
                <w:color w:val="000000"/>
                <w:sz w:val="24"/>
                <w:szCs w:val="24"/>
                <w:lang w:val="ru-RU"/>
              </w:rPr>
            </w: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tl w:val="0"/>
              </w:rPr>
            </w:pPr>
            <w:r>
              <w:rPr>
                <w:rtl w:val="0"/>
              </w:rPr>
            </w:r>
            <w:r>
              <w:rPr>
                <w:rtl w:val="0"/>
              </w:rPr>
            </w:r>
            <w:r>
              <w:rPr>
                <w:rtl w:val="0"/>
              </w:rPr>
            </w:r>
          </w:p>
        </w:tc>
      </w:tr>
      <w:tr>
        <w:tblPrEx/>
        <w:trPr>
          <w:cantSplit w:val="false"/>
        </w:trPr>
        <w:tc>
          <w:tcPr>
            <w:gridSpan w:val="3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Параметры надстройки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122"/>
        </w:trPr>
        <w:tc>
          <w:tcPr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Тип</w:t>
            </w:r>
            <w:r>
              <w:rPr>
                <w:rtl w:val="0"/>
              </w:rPr>
              <w:t xml:space="preserve"> </w:t>
            </w:r>
            <w:r>
              <w:rPr>
                <w:sz w:val="24"/>
                <w:szCs w:val="24"/>
                <w:rtl w:val="0"/>
              </w:rPr>
              <w:t xml:space="preserve">стрелы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Телескопическая цельнометаллическая коробчатого сечения, шестигранная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122"/>
        </w:trPr>
        <w:tc>
          <w:tcPr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Материал люльки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Сталь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Материал пола люльки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Алюминий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Рабочая высота подъёма, 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Не менее 17,5 не более 18,5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Материал изготовления стрелы и опорной рамы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Высокопрочная сталь не менее 700 Мпа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 w:val="false"/>
        </w:trPr>
        <w:tc>
          <w:tcPr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Управление подъемником</w:t>
              <w:tab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Гидравлическое, в люльке и на поворотном основании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Система управления подъемником</w:t>
              <w:tab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Пропорциональная как с верхнего, так и с нижнего пульта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Высота подъема от земли до пола рабочей платформы, 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Не менее </w:t>
            </w:r>
            <w:r>
              <w:rPr>
                <w:sz w:val="24"/>
                <w:szCs w:val="24"/>
                <w:rtl w:val="0"/>
                <w:lang w:val="ru-RU"/>
              </w:rPr>
              <w:t xml:space="preserve">18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Грузоподъёмность рабочей платформы, кг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Не менее 250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Вылет стрелы с полной грузоподъёмностью, 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Не менее </w:t>
            </w:r>
            <w:r>
              <w:rPr>
                <w:sz w:val="24"/>
                <w:szCs w:val="24"/>
                <w:rtl w:val="0"/>
                <w:lang w:val="ru-RU"/>
              </w:rPr>
              <w:t xml:space="preserve">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94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Угол поворота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360˚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94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Угол поворота рабочей платформы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Не более ±60˚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Система укладки РВД</w:t>
              <w:tab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Снаружи, в специальном защищенном коробе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Расположение цилиндра выдвижения стрелы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Внутри стрелы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 w:val="false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Изоляция рабочей платформы, 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Не менее10 000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100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Размер рабочей платформы, 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Не более 1,4×0,7×1,1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132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Опорный контур, м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Продольный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Поперечный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Передний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Задний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Не более 4,2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Не более 3,8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Не более 2,5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 w:val="false"/>
          <w:trHeight w:val="132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Расположение аутригеров в транспортном положении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Передние - подняты вверх параллельно кабине;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Задние – на заднем свесе АГП в колее задних колес;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 w:val="false"/>
          <w:trHeight w:val="132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Количество аутригеров, шт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Не более 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 w:val="false"/>
          <w:trHeight w:val="132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Тип аутригеров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Передние откидные;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Задние А- образные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 w:val="false"/>
          <w:trHeight w:val="132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Управление аутригерами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Гидравлическое пропорциональное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 w:val="false"/>
          <w:trHeight w:val="132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Размещение пульта управления аутригерами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На стойке размещения стрелы в транспортном положении.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 w:val="false"/>
          <w:trHeight w:val="132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Настил платформы АГП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Усиленный Алюминий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 w:val="false"/>
          <w:trHeight w:val="132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Габаритные размеры, 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Не более 8,0х2,5х3,5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132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Угол въезда, град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Передний не менее 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Задний  не менее 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132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Алюминиевый борт по периметру платформы АГП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132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Усиление рамы базового шасси от передних до задних рессор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132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Кнопка звукового сигнала на ПУ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60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Счётчик моточасов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60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Аварийный насос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60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Пуск/стоп двигателя из рабочей платформы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60"/>
        </w:trPr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Ограничитель нагрузки в рабочей платформе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60"/>
        </w:trPr>
        <w:tc>
          <w:tcPr>
            <w:gridSpan w:val="3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Дополнительное оборудование и комплектующие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60"/>
        </w:trPr>
        <w:tc>
          <w:tcPr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Алюминиевый борт по периметру платформы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60"/>
        </w:trPr>
        <w:tc>
          <w:tcPr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Маяк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60"/>
        </w:trPr>
        <w:tc>
          <w:tcPr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Прожектор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 w:val="false"/>
          <w:trHeight w:val="60"/>
        </w:trPr>
        <w:tc>
          <w:tcPr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Деревянные подкладки с местами их крепления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lang w:val="ru-RU"/>
              </w:rPr>
              <w:t xml:space="preserve">Предпусковой подогреватель двигателя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tl w:val="0"/>
              </w:rPr>
            </w:pPr>
            <w:r>
              <w:rPr>
                <w:rtl w:val="0"/>
              </w:rPr>
            </w:r>
            <w:r>
              <w:rPr>
                <w:rtl w:val="0"/>
              </w:rPr>
            </w:r>
            <w:r>
              <w:rPr>
                <w:rtl w:val="0"/>
              </w:rPr>
            </w:r>
          </w:p>
        </w:tc>
      </w:tr>
      <w:tr>
        <w:tblPrEx/>
        <w:trPr>
          <w:trHeight w:val="60"/>
        </w:trPr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color w:val="000000"/>
                <w:sz w:val="24"/>
                <w:szCs w:val="24"/>
                <w:lang w:val="ru-RU"/>
              </w:rPr>
              <w:t xml:space="preserve">Аптечка 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tl w:val="0"/>
              </w:rPr>
            </w:pPr>
            <w:r>
              <w:rPr>
                <w:rtl w:val="0"/>
              </w:rPr>
            </w:r>
            <w:r>
              <w:rPr>
                <w:rtl w:val="0"/>
              </w:rPr>
            </w:r>
            <w:r>
              <w:rPr>
                <w:rtl w:val="0"/>
              </w:rPr>
            </w:r>
          </w:p>
        </w:tc>
      </w:tr>
      <w:tr>
        <w:tblPrEx/>
        <w:trPr>
          <w:trHeight w:val="60"/>
        </w:trPr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color w:val="000000"/>
                <w:sz w:val="24"/>
                <w:szCs w:val="24"/>
                <w:lang w:val="ru-RU"/>
              </w:rPr>
              <w:t xml:space="preserve">Огнетушитель 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tl w:val="0"/>
              </w:rPr>
            </w:pPr>
            <w:r>
              <w:rPr>
                <w:rtl w:val="0"/>
              </w:rPr>
            </w:r>
            <w:r>
              <w:rPr>
                <w:rtl w:val="0"/>
              </w:rPr>
            </w:r>
            <w:r>
              <w:rPr>
                <w:rtl w:val="0"/>
              </w:rPr>
            </w:r>
          </w:p>
        </w:tc>
      </w:tr>
      <w:tr>
        <w:tblPrEx/>
        <w:trPr>
          <w:trHeight w:val="60"/>
        </w:trPr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color w:val="000000"/>
                <w:sz w:val="24"/>
                <w:szCs w:val="24"/>
                <w:lang w:val="ru-RU"/>
              </w:rPr>
              <w:t xml:space="preserve">Знак аварийной остановки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tl w:val="0"/>
              </w:rPr>
            </w:pPr>
            <w:r>
              <w:rPr>
                <w:rtl w:val="0"/>
              </w:rPr>
            </w:r>
            <w:r>
              <w:rPr>
                <w:rtl w:val="0"/>
              </w:rPr>
            </w:r>
            <w:r>
              <w:rPr>
                <w:rtl w:val="0"/>
              </w:rPr>
            </w:r>
          </w:p>
        </w:tc>
      </w:tr>
      <w:tr>
        <w:tblPrEx/>
        <w:trPr>
          <w:trHeight w:val="60"/>
        </w:trPr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color w:val="000000"/>
                <w:sz w:val="24"/>
                <w:szCs w:val="24"/>
                <w:lang w:val="ru-RU"/>
              </w:rPr>
              <w:t xml:space="preserve">Домкрат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tl w:val="0"/>
              </w:rPr>
            </w:pPr>
            <w:r>
              <w:rPr>
                <w:rtl w:val="0"/>
              </w:rPr>
            </w:r>
            <w:r>
              <w:rPr>
                <w:rtl w:val="0"/>
              </w:rPr>
            </w:r>
            <w:r>
              <w:rPr>
                <w:rtl w:val="0"/>
              </w:rPr>
            </w:r>
          </w:p>
        </w:tc>
      </w:tr>
      <w:tr>
        <w:tblPrEx/>
        <w:trPr>
          <w:trHeight w:val="60"/>
        </w:trPr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color w:val="000000"/>
                <w:sz w:val="24"/>
                <w:szCs w:val="24"/>
                <w:lang w:val="ru-RU"/>
              </w:rPr>
              <w:t xml:space="preserve">Балонный ключ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tl w:val="0"/>
              </w:rPr>
            </w:pPr>
            <w:r>
              <w:rPr>
                <w:rtl w:val="0"/>
              </w:rPr>
            </w:r>
            <w:r>
              <w:rPr>
                <w:rtl w:val="0"/>
              </w:rPr>
            </w:r>
            <w:r>
              <w:rPr>
                <w:rtl w:val="0"/>
              </w:rPr>
            </w:r>
          </w:p>
        </w:tc>
      </w:tr>
      <w:tr>
        <w:tblPrEx/>
        <w:trPr>
          <w:trHeight w:val="60"/>
        </w:trPr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  <w:lang w:val="ru-RU"/>
              </w:rPr>
              <w:t xml:space="preserve">З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апасное колесо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tl w:val="0"/>
              </w:rPr>
            </w:pPr>
            <w:r>
              <w:rPr>
                <w:rtl w:val="0"/>
              </w:rPr>
            </w:r>
            <w:r>
              <w:rPr>
                <w:rtl w:val="0"/>
              </w:rPr>
            </w:r>
            <w:r>
              <w:rPr>
                <w:rtl w:val="0"/>
              </w:rPr>
            </w:r>
          </w:p>
        </w:tc>
      </w:tr>
      <w:tr>
        <w:tblPrEx/>
        <w:trPr>
          <w:trHeight w:val="60"/>
        </w:trPr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color w:val="000000"/>
                <w:sz w:val="24"/>
                <w:szCs w:val="24"/>
                <w:lang w:val="ru-RU"/>
              </w:rPr>
              <w:t xml:space="preserve">ЗИП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tl w:val="0"/>
              </w:rPr>
            </w:pPr>
            <w:r>
              <w:rPr>
                <w:rtl w:val="0"/>
              </w:rPr>
            </w:r>
            <w:r>
              <w:rPr>
                <w:rtl w:val="0"/>
              </w:rPr>
            </w:r>
            <w:r>
              <w:rPr>
                <w:rtl w:val="0"/>
              </w:rPr>
            </w:r>
          </w:p>
        </w:tc>
      </w:tr>
      <w:tr>
        <w:tblPrEx/>
        <w:trPr>
          <w:trHeight w:val="60"/>
        </w:trPr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color w:val="000000"/>
                <w:sz w:val="24"/>
                <w:szCs w:val="24"/>
                <w:lang w:val="ru-RU"/>
              </w:rPr>
              <w:t xml:space="preserve">Бортовой терминал системы спутникового мониторинга Omnicomm Profi + датчик уровня топлива на каждый топливный бак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tl w:val="0"/>
              </w:rPr>
            </w:pPr>
            <w:r>
              <w:rPr>
                <w:rtl w:val="0"/>
              </w:rPr>
            </w:r>
            <w:r>
              <w:rPr>
                <w:rtl w:val="0"/>
              </w:rPr>
            </w:r>
            <w:r>
              <w:rPr>
                <w:rtl w:val="0"/>
              </w:rPr>
            </w:r>
          </w:p>
        </w:tc>
      </w:tr>
      <w:tr>
        <w:tblPrEx/>
        <w:trPr>
          <w:trHeight w:val="60"/>
        </w:trPr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color w:val="000000"/>
                <w:sz w:val="24"/>
                <w:szCs w:val="24"/>
                <w:lang w:val="ru-RU"/>
              </w:rPr>
              <w:t xml:space="preserve">Логотип ПАО «Росс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ети Сибирь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»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с правой, левой стороны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tl w:val="0"/>
              </w:rPr>
            </w:pPr>
            <w:r>
              <w:rPr>
                <w:rtl w:val="0"/>
              </w:rPr>
            </w:r>
            <w:r>
              <w:rPr>
                <w:rtl w:val="0"/>
              </w:rPr>
            </w:r>
            <w:r>
              <w:rPr>
                <w:rtl w:val="0"/>
              </w:rPr>
            </w:r>
          </w:p>
        </w:tc>
      </w:tr>
      <w:tr>
        <w:tblPrEx/>
        <w:trPr>
          <w:trHeight w:val="60"/>
        </w:trPr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color w:val="000000"/>
                <w:sz w:val="24"/>
                <w:szCs w:val="24"/>
                <w:lang w:val="ru-RU"/>
              </w:rPr>
              <w:t xml:space="preserve">Усиление рамы автомобиля 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tl w:val="0"/>
              </w:rPr>
            </w:pPr>
            <w:r>
              <w:rPr>
                <w:rtl w:val="0"/>
              </w:rPr>
            </w:r>
            <w:r>
              <w:rPr>
                <w:rtl w:val="0"/>
              </w:rPr>
            </w:r>
            <w:r>
              <w:rPr>
                <w:rtl w:val="0"/>
              </w:rPr>
            </w:r>
          </w:p>
        </w:tc>
      </w:tr>
      <w:tr>
        <w:tblPrEx/>
        <w:trPr>
          <w:trHeight w:val="60"/>
        </w:trPr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rtl w:val="0"/>
              </w:rPr>
            </w:pPr>
            <w:r>
              <w:rPr>
                <w:sz w:val="24"/>
                <w:szCs w:val="24"/>
                <w:rtl w:val="0"/>
              </w:rPr>
            </w:r>
            <w:r>
              <w:rPr>
                <w:color w:val="000000"/>
                <w:sz w:val="24"/>
                <w:szCs w:val="24"/>
                <w:lang w:val="ru-RU"/>
              </w:rPr>
              <w:t xml:space="preserve">Подогрев гидравлического бака</w:t>
            </w:r>
            <w:r>
              <w:rPr>
                <w:sz w:val="24"/>
                <w:szCs w:val="24"/>
                <w:rtl w:val="0"/>
              </w:rPr>
            </w:r>
            <w:r>
              <w:rPr>
                <w:sz w:val="24"/>
                <w:szCs w:val="24"/>
                <w:rtl w:val="0"/>
              </w:rPr>
            </w:r>
          </w:p>
        </w:tc>
        <w:tc>
          <w:tcPr>
            <w:tcW w:w="0" w:type="auto"/>
            <w:vAlign w:val="center"/>
            <w:vMerge w:val="restart"/>
            <w:textDirection w:val="lrTb"/>
            <w:noWrap w:val="false"/>
          </w:tcPr>
          <w:p>
            <w:r>
              <w:rPr>
                <w:sz w:val="24"/>
                <w:szCs w:val="24"/>
                <w:rtl w:val="0"/>
              </w:rPr>
              <w:t xml:space="preserve">Наличие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tl w:val="0"/>
              </w:rPr>
            </w:pPr>
            <w:r>
              <w:rPr>
                <w:rtl w:val="0"/>
              </w:rPr>
            </w:r>
            <w:r>
              <w:rPr>
                <w:rtl w:val="0"/>
              </w:rPr>
            </w:r>
            <w:r>
              <w:rPr>
                <w:rtl w:val="0"/>
              </w:rPr>
            </w:r>
          </w:p>
        </w:tc>
      </w:tr>
    </w:tbl>
    <w:p>
      <w:pPr>
        <w:ind w:left="709"/>
        <w:rPr>
          <w:rFonts w:eastAsia="Calibri"/>
          <w:bCs/>
          <w:sz w:val="24"/>
          <w:szCs w:val="24"/>
          <w:lang w:val="ru-RU" w:eastAsia="en-US"/>
        </w:rPr>
      </w:pPr>
      <w:r>
        <w:rPr>
          <w:rFonts w:eastAsia="Calibri"/>
          <w:bCs/>
          <w:sz w:val="24"/>
          <w:szCs w:val="24"/>
          <w:lang w:val="ru-RU" w:eastAsia="en-US"/>
        </w:rPr>
      </w:r>
      <w:r>
        <w:rPr>
          <w:rFonts w:eastAsia="Calibri"/>
          <w:bCs/>
          <w:sz w:val="24"/>
          <w:szCs w:val="24"/>
          <w:lang w:val="ru-RU" w:eastAsia="en-US"/>
        </w:rPr>
      </w:r>
      <w:r>
        <w:rPr>
          <w:rFonts w:eastAsia="Calibri"/>
          <w:bCs/>
          <w:sz w:val="24"/>
          <w:szCs w:val="24"/>
          <w:lang w:val="ru-RU" w:eastAsia="en-US"/>
        </w:rPr>
      </w:r>
    </w:p>
    <w:p>
      <w:pPr>
        <w:numPr>
          <w:ilvl w:val="0"/>
          <w:numId w:val="12"/>
        </w:numPr>
        <w:rPr>
          <w:rFonts w:eastAsia="Calibri"/>
          <w:b/>
          <w:bCs/>
          <w:sz w:val="24"/>
          <w:szCs w:val="24"/>
          <w:lang w:val="ru-RU" w:eastAsia="en-US"/>
        </w:rPr>
      </w:pPr>
      <w:r>
        <w:rPr>
          <w:rFonts w:eastAsia="Calibri"/>
          <w:b/>
          <w:bCs/>
          <w:sz w:val="24"/>
          <w:szCs w:val="24"/>
          <w:lang w:val="ru-RU" w:eastAsia="en-US"/>
        </w:rPr>
        <w:t xml:space="preserve">Общие требования.</w:t>
      </w:r>
      <w:r>
        <w:rPr>
          <w:rFonts w:eastAsia="Calibri"/>
          <w:b/>
          <w:bCs/>
          <w:sz w:val="24"/>
          <w:szCs w:val="24"/>
          <w:lang w:val="ru-RU" w:eastAsia="en-US"/>
        </w:rPr>
      </w:r>
      <w:r>
        <w:rPr>
          <w:rFonts w:eastAsia="Calibri"/>
          <w:b/>
          <w:bCs/>
          <w:sz w:val="24"/>
          <w:szCs w:val="24"/>
          <w:lang w:val="ru-RU" w:eastAsia="en-US"/>
        </w:rPr>
      </w:r>
    </w:p>
    <w:p>
      <w:pPr>
        <w:numPr>
          <w:ilvl w:val="1"/>
          <w:numId w:val="12"/>
        </w:numPr>
        <w:jc w:val="both"/>
        <w:rPr>
          <w:rFonts w:eastAsia="Calibri"/>
          <w:bCs/>
          <w:sz w:val="24"/>
          <w:szCs w:val="24"/>
          <w:lang w:val="ru-RU" w:eastAsia="en-US"/>
        </w:rPr>
      </w:pPr>
      <w:r>
        <w:rPr>
          <w:rFonts w:eastAsia="Calibri"/>
          <w:bCs/>
          <w:sz w:val="24"/>
          <w:szCs w:val="24"/>
          <w:lang w:val="ru-RU" w:eastAsia="en-US"/>
        </w:rPr>
        <w:t xml:space="preserve">Поставляемые транспортные средства </w:t>
      </w:r>
      <w:r>
        <w:rPr>
          <w:rFonts w:eastAsia="Calibri"/>
          <w:bCs/>
          <w:sz w:val="24"/>
          <w:szCs w:val="24"/>
          <w:lang w:val="ru-RU" w:eastAsia="en-US"/>
        </w:rPr>
        <w:t xml:space="preserve">должны быть изготовлены в год поставки или предшествующий ему и быть ранее не использованными, не подверженные ремонту и восстановлению.</w:t>
      </w:r>
      <w:r>
        <w:rPr>
          <w:rFonts w:eastAsia="Calibri"/>
          <w:bCs/>
          <w:sz w:val="24"/>
          <w:szCs w:val="24"/>
          <w:lang w:val="ru-RU" w:eastAsia="en-US"/>
        </w:rPr>
      </w:r>
      <w:r>
        <w:rPr>
          <w:rFonts w:eastAsia="Calibri"/>
          <w:bCs/>
          <w:sz w:val="24"/>
          <w:szCs w:val="24"/>
          <w:lang w:val="ru-RU" w:eastAsia="en-US"/>
        </w:rPr>
      </w:r>
    </w:p>
    <w:p>
      <w:pPr>
        <w:numPr>
          <w:ilvl w:val="1"/>
          <w:numId w:val="12"/>
        </w:numPr>
        <w:jc w:val="both"/>
        <w:rPr>
          <w:rFonts w:eastAsia="Calibri"/>
          <w:bCs/>
          <w:sz w:val="24"/>
          <w:szCs w:val="24"/>
          <w:lang w:val="ru-RU" w:eastAsia="en-US"/>
        </w:rPr>
      </w:pPr>
      <w:r>
        <w:rPr>
          <w:rFonts w:eastAsia="Calibri"/>
          <w:bCs/>
          <w:sz w:val="24"/>
          <w:szCs w:val="24"/>
          <w:lang w:val="ru-RU" w:eastAsia="en-US"/>
        </w:rPr>
        <w:t xml:space="preserve">Транспортные средства </w:t>
      </w:r>
      <w:r>
        <w:rPr>
          <w:rFonts w:eastAsia="Calibri"/>
          <w:bCs/>
          <w:sz w:val="24"/>
          <w:szCs w:val="24"/>
          <w:lang w:val="ru-RU" w:eastAsia="en-US"/>
        </w:rPr>
        <w:t xml:space="preserve">д</w:t>
      </w:r>
      <w:r>
        <w:rPr>
          <w:rFonts w:eastAsia="Calibri"/>
          <w:bCs/>
          <w:sz w:val="24"/>
          <w:szCs w:val="24"/>
          <w:lang w:val="ru-RU" w:eastAsia="en-US"/>
        </w:rPr>
        <w:t xml:space="preserve">олжны иметь сертификаты соответствия. Вся поставляемая техника должна сопровождаться технической документацией по эксплуатации и обслуживанию, документами необходимыми для регистрации в органах ГИБДД, Гостехнадзора, Ростехнадзора и прочих органах государст</w:t>
      </w:r>
      <w:r>
        <w:rPr>
          <w:rFonts w:eastAsia="Calibri"/>
          <w:bCs/>
          <w:sz w:val="24"/>
          <w:szCs w:val="24"/>
          <w:lang w:val="ru-RU" w:eastAsia="en-US"/>
        </w:rPr>
        <w:t xml:space="preserve">венного контроля, а также иметь </w:t>
      </w:r>
      <w:r>
        <w:rPr>
          <w:rFonts w:eastAsia="Calibri"/>
          <w:bCs/>
          <w:sz w:val="24"/>
          <w:szCs w:val="24"/>
          <w:lang w:val="ru-RU" w:eastAsia="en-US"/>
        </w:rPr>
        <w:t xml:space="preserve">одобрение типа транспортного средства. </w:t>
      </w:r>
      <w:r>
        <w:rPr>
          <w:rFonts w:eastAsia="Calibri"/>
          <w:bCs/>
          <w:sz w:val="24"/>
          <w:szCs w:val="24"/>
          <w:lang w:val="ru-RU" w:eastAsia="en-US"/>
        </w:rPr>
      </w:r>
      <w:r>
        <w:rPr>
          <w:rFonts w:eastAsia="Calibri"/>
          <w:bCs/>
          <w:sz w:val="24"/>
          <w:szCs w:val="24"/>
          <w:lang w:val="ru-RU" w:eastAsia="en-US"/>
        </w:rPr>
      </w:r>
    </w:p>
    <w:p>
      <w:pPr>
        <w:numPr>
          <w:ilvl w:val="1"/>
          <w:numId w:val="12"/>
        </w:numPr>
        <w:jc w:val="both"/>
        <w:rPr>
          <w:rFonts w:eastAsia="Calibri"/>
          <w:bCs/>
          <w:sz w:val="24"/>
          <w:szCs w:val="24"/>
          <w:lang w:val="ru-RU" w:eastAsia="en-US"/>
        </w:rPr>
      </w:pPr>
      <w:r>
        <w:rPr>
          <w:rFonts w:eastAsia="Calibri"/>
          <w:bCs/>
          <w:sz w:val="24"/>
          <w:szCs w:val="24"/>
          <w:lang w:val="ru-RU" w:eastAsia="en-US"/>
        </w:rPr>
        <w:t xml:space="preserve">Вся сопроводительная документация должна быть составлена на русском языке и передана заказчику вместе с транспортными средствами.</w:t>
      </w:r>
      <w:r>
        <w:rPr>
          <w:rFonts w:eastAsia="Calibri"/>
          <w:bCs/>
          <w:sz w:val="24"/>
          <w:szCs w:val="24"/>
          <w:lang w:val="ru-RU" w:eastAsia="en-US"/>
        </w:rPr>
      </w:r>
      <w:r>
        <w:rPr>
          <w:rFonts w:eastAsia="Calibri"/>
          <w:bCs/>
          <w:sz w:val="24"/>
          <w:szCs w:val="24"/>
          <w:lang w:val="ru-RU" w:eastAsia="en-US"/>
        </w:rPr>
      </w:r>
    </w:p>
    <w:p>
      <w:pPr>
        <w:numPr>
          <w:ilvl w:val="1"/>
          <w:numId w:val="12"/>
        </w:numPr>
        <w:jc w:val="both"/>
        <w:rPr>
          <w:rFonts w:eastAsia="Calibri"/>
          <w:bCs/>
          <w:sz w:val="24"/>
          <w:szCs w:val="24"/>
          <w:lang w:val="ru-RU" w:eastAsia="en-US"/>
        </w:rPr>
      </w:pPr>
      <w:r>
        <w:rPr>
          <w:rFonts w:eastAsia="Calibri"/>
          <w:bCs/>
          <w:sz w:val="24"/>
          <w:szCs w:val="24"/>
          <w:lang w:val="ru-RU" w:eastAsia="en-US"/>
        </w:rPr>
        <w:t xml:space="preserve">Транспортные средства</w:t>
      </w:r>
      <w:r>
        <w:rPr>
          <w:rFonts w:eastAsia="Calibri"/>
          <w:sz w:val="24"/>
          <w:szCs w:val="24"/>
          <w:lang w:val="ru-RU" w:eastAsia="en-US"/>
        </w:rPr>
        <w:t xml:space="preserve"> </w:t>
      </w:r>
      <w:r>
        <w:rPr>
          <w:rFonts w:eastAsia="Calibri"/>
          <w:sz w:val="24"/>
          <w:szCs w:val="24"/>
          <w:lang w:val="ru-RU" w:eastAsia="en-US"/>
        </w:rPr>
        <w:t xml:space="preserve">должны</w:t>
      </w:r>
      <w:r>
        <w:rPr>
          <w:rFonts w:eastAsia="Calibri"/>
          <w:bCs/>
          <w:sz w:val="24"/>
          <w:szCs w:val="24"/>
          <w:lang w:val="ru-RU" w:eastAsia="en-US"/>
        </w:rPr>
        <w:t xml:space="preserve"> иметь экологический класс, соответствующий нормативам, действующим в соответствии с законодательством РФ на момент поставки техники.</w:t>
      </w:r>
      <w:r>
        <w:rPr>
          <w:rFonts w:eastAsia="Calibri"/>
          <w:bCs/>
          <w:sz w:val="24"/>
          <w:szCs w:val="24"/>
          <w:lang w:val="ru-RU" w:eastAsia="en-US"/>
        </w:rPr>
      </w:r>
      <w:r>
        <w:rPr>
          <w:rFonts w:eastAsia="Calibri"/>
          <w:bCs/>
          <w:sz w:val="24"/>
          <w:szCs w:val="24"/>
          <w:lang w:val="ru-RU" w:eastAsia="en-US"/>
        </w:rPr>
      </w:r>
    </w:p>
    <w:p>
      <w:pPr>
        <w:numPr>
          <w:ilvl w:val="1"/>
          <w:numId w:val="12"/>
        </w:numPr>
        <w:jc w:val="both"/>
        <w:rPr>
          <w:rFonts w:eastAsia="Calibri"/>
          <w:b w:val="0"/>
          <w:bCs w:val="0"/>
          <w:i w:val="0"/>
          <w:iCs w:val="0"/>
          <w:sz w:val="24"/>
          <w:szCs w:val="24"/>
          <w:highlight w:val="white"/>
        </w:rPr>
      </w:pPr>
      <w:r>
        <w:rPr>
          <w:rFonts w:eastAsia="Calibri"/>
          <w:bCs/>
          <w:i w:val="0"/>
          <w:iCs w:val="0"/>
          <w:sz w:val="24"/>
          <w:szCs w:val="24"/>
          <w:highlight w:val="white"/>
          <w:lang w:val="ru-RU" w:eastAsia="en-US"/>
        </w:rPr>
        <w:t xml:space="preserve">Категория транспортного средства</w:t>
      </w:r>
      <w:r>
        <w:rPr>
          <w:rFonts w:eastAsia="Calibri"/>
          <w:bCs/>
          <w:i w:val="0"/>
          <w:iCs w:val="0"/>
          <w:sz w:val="24"/>
          <w:szCs w:val="24"/>
          <w:highlight w:val="white"/>
          <w:lang w:val="en-US"/>
        </w:rPr>
        <w:t xml:space="preserve"> </w:t>
      </w:r>
      <w:r>
        <w:rPr>
          <w:rFonts w:eastAsia="Calibri"/>
          <w:bCs/>
          <w:i w:val="0"/>
          <w:iCs w:val="0"/>
          <w:sz w:val="24"/>
          <w:szCs w:val="24"/>
          <w:highlight w:val="white"/>
          <w:lang w:val="ru-RU"/>
        </w:rPr>
        <w:t xml:space="preserve">в соответствии с </w:t>
      </w:r>
      <w:r>
        <w:rPr>
          <w:rFonts w:eastAsia="Calibri"/>
          <w:bCs/>
          <w:i w:val="0"/>
          <w:iCs w:val="0"/>
          <w:sz w:val="24"/>
          <w:szCs w:val="24"/>
          <w:highlight w:val="white"/>
          <w:lang w:val="ru-RU"/>
        </w:rPr>
        <w:t xml:space="preserve">действующим Техническим регламентом – </w:t>
      </w:r>
      <w:r>
        <w:rPr>
          <w:rFonts w:eastAsia="Calibri"/>
          <w:b w:val="0"/>
          <w:bCs w:val="0"/>
          <w:i w:val="0"/>
          <w:iCs w:val="0"/>
          <w:sz w:val="24"/>
          <w:szCs w:val="24"/>
          <w:highlight w:val="white"/>
          <w:lang w:val="en-US"/>
        </w:rPr>
        <w:t xml:space="preserve">N2G</w:t>
      </w:r>
      <w:r>
        <w:rPr>
          <w:rFonts w:eastAsia="Calibri"/>
          <w:b w:val="0"/>
          <w:bCs w:val="0"/>
          <w:i w:val="0"/>
          <w:iCs w:val="0"/>
          <w:sz w:val="24"/>
          <w:szCs w:val="24"/>
          <w:highlight w:val="none"/>
          <w:lang w:val="ru-RU"/>
        </w:rPr>
        <w:t xml:space="preserve">.</w:t>
      </w:r>
      <w:r>
        <w:rPr>
          <w:rFonts w:eastAsia="Calibri"/>
          <w:b w:val="0"/>
          <w:bCs w:val="0"/>
          <w:i w:val="0"/>
          <w:iCs w:val="0"/>
          <w:sz w:val="24"/>
          <w:szCs w:val="24"/>
          <w:highlight w:val="white"/>
        </w:rPr>
      </w:r>
      <w:r>
        <w:rPr>
          <w:rFonts w:eastAsia="Calibri"/>
          <w:b w:val="0"/>
          <w:bCs w:val="0"/>
          <w:i w:val="0"/>
          <w:iCs w:val="0"/>
          <w:sz w:val="24"/>
          <w:szCs w:val="24"/>
          <w:highlight w:val="white"/>
        </w:rPr>
      </w:r>
    </w:p>
    <w:p>
      <w:pPr>
        <w:numPr>
          <w:ilvl w:val="0"/>
          <w:numId w:val="12"/>
        </w:numPr>
        <w:jc w:val="both"/>
        <w:rPr>
          <w:rFonts w:eastAsia="Calibri"/>
          <w:b/>
          <w:bCs/>
          <w:i w:val="0"/>
          <w:iCs w:val="0"/>
          <w:sz w:val="24"/>
          <w:szCs w:val="24"/>
        </w:rPr>
      </w:pPr>
      <w:r>
        <w:rPr>
          <w:rFonts w:eastAsia="Calibri"/>
          <w:b/>
          <w:bCs/>
          <w:sz w:val="24"/>
          <w:szCs w:val="24"/>
          <w:lang w:val="ru-RU" w:eastAsia="en-US"/>
        </w:rPr>
        <w:t xml:space="preserve">Назначение: </w:t>
      </w:r>
      <w:r>
        <w:rPr>
          <w:rFonts w:eastAsia="Calibri"/>
          <w:bCs/>
          <w:i w:val="0"/>
          <w:iCs w:val="0"/>
          <w:sz w:val="24"/>
          <w:szCs w:val="24"/>
          <w:lang w:val="ru-RU" w:eastAsia="en-US"/>
        </w:rPr>
        <w:t xml:space="preserve">Ремонт ВЛ</w:t>
      </w:r>
      <w:r>
        <w:rPr>
          <w:rFonts w:eastAsia="Calibri"/>
          <w:bCs/>
          <w:i w:val="0"/>
          <w:iCs w:val="0"/>
          <w:sz w:val="24"/>
          <w:szCs w:val="24"/>
          <w:lang w:val="ru-RU" w:eastAsia="en-US"/>
        </w:rPr>
        <w:t xml:space="preserve">.</w:t>
      </w:r>
      <w:r>
        <w:rPr>
          <w:rFonts w:eastAsia="Calibri"/>
          <w:b/>
          <w:bCs/>
          <w:i w:val="0"/>
          <w:iCs w:val="0"/>
          <w:sz w:val="24"/>
          <w:szCs w:val="24"/>
        </w:rPr>
      </w:r>
      <w:r>
        <w:rPr>
          <w:rFonts w:eastAsia="Calibri"/>
          <w:b/>
          <w:bCs/>
          <w:i w:val="0"/>
          <w:iCs w:val="0"/>
          <w:sz w:val="24"/>
          <w:szCs w:val="24"/>
        </w:rPr>
      </w:r>
    </w:p>
    <w:p>
      <w:pPr>
        <w:ind w:left="709"/>
        <w:rPr>
          <w:rFonts w:eastAsia="Calibri"/>
          <w:b/>
          <w:bCs/>
          <w:sz w:val="24"/>
          <w:szCs w:val="24"/>
          <w:lang w:val="ru-RU" w:eastAsia="en-US"/>
        </w:rPr>
      </w:pPr>
      <w:r>
        <w:rPr>
          <w:rFonts w:eastAsia="Calibri"/>
          <w:b/>
          <w:bCs/>
          <w:sz w:val="24"/>
          <w:szCs w:val="24"/>
          <w:lang w:val="ru-RU" w:eastAsia="en-US"/>
        </w:rPr>
      </w:r>
      <w:r>
        <w:rPr>
          <w:rFonts w:eastAsia="Calibri"/>
          <w:b/>
          <w:bCs/>
          <w:sz w:val="24"/>
          <w:szCs w:val="24"/>
          <w:lang w:val="ru-RU" w:eastAsia="en-US"/>
        </w:rPr>
      </w:r>
      <w:r>
        <w:rPr>
          <w:rFonts w:eastAsia="Calibri"/>
          <w:b/>
          <w:bCs/>
          <w:sz w:val="24"/>
          <w:szCs w:val="24"/>
          <w:lang w:val="ru-RU" w:eastAsia="en-US"/>
        </w:rPr>
      </w:r>
    </w:p>
    <w:p>
      <w:pPr>
        <w:numPr>
          <w:ilvl w:val="0"/>
          <w:numId w:val="12"/>
        </w:numPr>
        <w:rPr>
          <w:color w:val="000000"/>
          <w:sz w:val="24"/>
          <w:szCs w:val="24"/>
        </w:rPr>
      </w:pPr>
      <w:r>
        <w:rPr>
          <w:rFonts w:eastAsia="Calibri"/>
          <w:b/>
          <w:bCs/>
          <w:sz w:val="24"/>
          <w:szCs w:val="24"/>
          <w:lang w:val="ru-RU" w:eastAsia="en-US"/>
        </w:rPr>
        <w:t xml:space="preserve">Внешний вид: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left="709"/>
        <w:rPr>
          <w:rFonts w:eastAsia="Calibri"/>
          <w:b/>
          <w:bCs/>
          <w:sz w:val="24"/>
          <w:szCs w:val="24"/>
          <w:lang w:val="ru-RU" w:eastAsia="en-US"/>
        </w:rPr>
      </w:pPr>
      <w:r>
        <w:rPr>
          <w:rFonts w:eastAsia="Calibri"/>
          <w:b/>
          <w:bCs/>
          <w:sz w:val="24"/>
          <w:szCs w:val="24"/>
          <w:lang w:val="ru-RU" w:eastAsia="en-US"/>
        </w:rPr>
      </w:r>
      <w:r>
        <w:rPr>
          <w:rFonts w:eastAsia="Calibri"/>
          <w:b/>
          <w:bCs/>
          <w:sz w:val="24"/>
          <w:szCs w:val="24"/>
          <w:lang w:val="ru-RU" w:eastAsia="en-US"/>
        </w:rPr>
      </w:r>
      <w:r>
        <w:rPr>
          <w:rFonts w:eastAsia="Calibri"/>
          <w:b/>
          <w:bCs/>
          <w:sz w:val="24"/>
          <w:szCs w:val="24"/>
          <w:lang w:val="ru-RU" w:eastAsia="en-US"/>
        </w:rPr>
      </w:r>
    </w:p>
    <w:p>
      <w:pPr>
        <w:rPr>
          <w:rFonts w:eastAsia="Calibri"/>
          <w:b/>
          <w:bCs/>
          <w:sz w:val="24"/>
          <w:szCs w:val="24"/>
          <w:lang w:val="ru-RU" w:eastAsia="en-US"/>
        </w:rPr>
      </w:pPr>
      <w:r>
        <w:rPr>
          <w:sz w:val="24"/>
          <w:szCs w:val="24"/>
          <w:lang w:val="ru-RU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3409950" cy="2190750"/>
                <wp:effectExtent l="6350" t="6350" r="6350" b="6350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37350105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 rot="0" flipH="0" flipV="0">
                          <a:off x="0" y="0"/>
                          <a:ext cx="3409949" cy="21907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68.50pt;height:172.50pt;mso-wrap-distance-left:0.00pt;mso-wrap-distance-top:0.00pt;mso-wrap-distance-right:0.00pt;mso-wrap-distance-bottom:0.00pt;rotation:0;" stroked="f">
                <v:path textboxrect="0,0,0,0"/>
                <v:imagedata r:id="rId10" o:title=""/>
              </v:shape>
            </w:pict>
          </mc:Fallback>
        </mc:AlternateContent>
      </w:r>
      <w:r>
        <w:rPr>
          <w:rFonts w:eastAsia="Calibri"/>
          <w:b/>
          <w:bCs/>
          <w:sz w:val="24"/>
          <w:szCs w:val="24"/>
          <w:lang w:val="ru-RU" w:eastAsia="en-US"/>
        </w:rPr>
      </w:r>
      <w:r>
        <w:rPr>
          <w:rFonts w:eastAsia="Calibri"/>
          <w:b/>
          <w:bCs/>
          <w:sz w:val="24"/>
          <w:szCs w:val="24"/>
          <w:lang w:val="ru-RU" w:eastAsia="en-US"/>
        </w:rPr>
      </w:r>
    </w:p>
    <w:p>
      <w:pPr>
        <w:ind w:left="-141" w:firstLine="709"/>
        <w:rPr>
          <w:b/>
          <w:bCs/>
          <w:i w:val="0"/>
          <w:iCs w:val="0"/>
          <w14:ligatures w14:val="none"/>
        </w:rPr>
      </w:pPr>
      <w:r>
        <w:rPr>
          <w:b/>
          <w:bCs/>
          <w:i w:val="0"/>
          <w:iCs w:val="0"/>
        </w:rPr>
      </w:r>
      <w:r>
        <w:rPr>
          <w:b/>
          <w:bCs/>
          <w:i w:val="0"/>
          <w:iCs w:val="0"/>
          <w14:ligatures w14:val="none"/>
        </w:rPr>
      </w:r>
      <w:r>
        <w:rPr>
          <w:b/>
          <w:bCs/>
          <w:i w:val="0"/>
          <w:iCs w:val="0"/>
          <w14:ligatures w14:val="none"/>
        </w:rPr>
      </w:r>
    </w:p>
    <w:p>
      <w:pPr>
        <w:numPr>
          <w:ilvl w:val="0"/>
          <w:numId w:val="12"/>
        </w:numPr>
        <w:jc w:val="both"/>
        <w:rPr>
          <w:rFonts w:eastAsia="Calibri"/>
          <w:b w:val="0"/>
          <w:bCs w:val="0"/>
          <w:i/>
          <w:iCs/>
          <w:sz w:val="24"/>
          <w:szCs w:val="24"/>
          <w:highlight w:val="white"/>
          <w14:ligatures w14:val="none"/>
        </w:rPr>
      </w:pPr>
      <w:r>
        <w:rPr>
          <w:rFonts w:eastAsia="Calibri"/>
          <w:b/>
          <w:bCs/>
          <w:sz w:val="24"/>
          <w:szCs w:val="24"/>
          <w:highlight w:val="white"/>
          <w:lang w:val="ru-RU" w:eastAsia="en-US"/>
        </w:rPr>
        <w:t xml:space="preserve"> </w:t>
      </w:r>
      <w:r>
        <w:rPr>
          <w:rFonts w:eastAsia="Calibri"/>
          <w:b/>
          <w:bCs/>
          <w:sz w:val="24"/>
          <w:szCs w:val="24"/>
          <w:highlight w:val="white"/>
          <w:lang w:val="ru-RU" w:eastAsia="en-US"/>
        </w:rPr>
        <w:t xml:space="preserve">Требования к объему документации, предоставляемой участником регламентированных закупок для оценки предложения по лоту.</w:t>
      </w:r>
      <w:r>
        <w:rPr>
          <w:rFonts w:eastAsia="Calibri"/>
          <w:b w:val="0"/>
          <w:bCs w:val="0"/>
          <w:i/>
          <w:iCs/>
          <w:sz w:val="24"/>
          <w:szCs w:val="24"/>
          <w:highlight w:val="white"/>
          <w14:ligatures w14:val="none"/>
        </w:rPr>
      </w:r>
      <w:r>
        <w:rPr>
          <w:rFonts w:eastAsia="Calibri"/>
          <w:b w:val="0"/>
          <w:bCs w:val="0"/>
          <w:i/>
          <w:iCs/>
          <w:sz w:val="24"/>
          <w:szCs w:val="24"/>
          <w:highlight w:val="white"/>
          <w14:ligatures w14:val="none"/>
        </w:rPr>
      </w:r>
    </w:p>
    <w:p>
      <w:pPr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>
        <w:rPr>
          <w:rFonts w:eastAsia="Calibri"/>
          <w:sz w:val="24"/>
          <w:szCs w:val="24"/>
          <w:lang w:val="ru-RU" w:eastAsia="en-US"/>
        </w:rPr>
        <w:t xml:space="preserve">- грузовысотные диаграммы производителя </w:t>
      </w:r>
      <w:r>
        <w:rPr>
          <w:rFonts w:eastAsia="Calibri"/>
          <w:sz w:val="24"/>
          <w:szCs w:val="24"/>
          <w:lang w:val="ru-RU" w:eastAsia="en-US"/>
        </w:rPr>
        <w:t xml:space="preserve">подъёмных</w:t>
      </w:r>
      <w:r>
        <w:rPr>
          <w:rFonts w:eastAsia="Calibri"/>
          <w:sz w:val="24"/>
          <w:szCs w:val="24"/>
          <w:lang w:val="ru-RU" w:eastAsia="en-US"/>
        </w:rPr>
        <w:t xml:space="preserve"> сооружений</w:t>
      </w:r>
      <w:r>
        <w:rPr>
          <w:rFonts w:eastAsia="Calibri"/>
          <w:sz w:val="24"/>
          <w:szCs w:val="24"/>
          <w:lang w:val="ru-RU" w:eastAsia="en-US"/>
        </w:rPr>
        <w:t xml:space="preserve">;</w:t>
      </w:r>
      <w:r>
        <w:rPr>
          <w:rFonts w:eastAsia="Calibri"/>
          <w:sz w:val="24"/>
          <w:szCs w:val="24"/>
          <w:lang w:val="ru-RU" w:eastAsia="en-US"/>
        </w:rPr>
      </w:r>
      <w:r>
        <w:rPr>
          <w:rFonts w:eastAsia="Calibri"/>
          <w:sz w:val="24"/>
          <w:szCs w:val="24"/>
          <w:lang w:val="ru-RU" w:eastAsia="en-US"/>
        </w:rPr>
      </w:r>
    </w:p>
    <w:p>
      <w:pPr>
        <w:ind w:firstLine="709"/>
        <w:jc w:val="both"/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  <w:lang w:val="ru-RU" w:eastAsia="en-US"/>
        </w:rPr>
        <w:t xml:space="preserve">- габаритные чертежи </w:t>
      </w:r>
      <w:r>
        <w:rPr>
          <w:rFonts w:eastAsia="Calibri"/>
          <w:i w:val="0"/>
          <w:iCs w:val="0"/>
          <w:sz w:val="24"/>
          <w:szCs w:val="24"/>
          <w:lang w:val="ru-RU" w:eastAsia="en-US"/>
        </w:rPr>
        <w:t xml:space="preserve">ТС</w:t>
      </w:r>
      <w:r>
        <w:rPr>
          <w:rFonts w:eastAsia="Calibri"/>
          <w:i w:val="0"/>
          <w:iCs w:val="0"/>
          <w:sz w:val="24"/>
          <w:szCs w:val="24"/>
          <w:lang w:val="ru-RU" w:eastAsia="en-US"/>
        </w:rPr>
        <w:t xml:space="preserve">;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>
        <w:rPr>
          <w:rFonts w:eastAsia="Calibri"/>
          <w:sz w:val="24"/>
          <w:szCs w:val="24"/>
          <w:lang w:val="ru-RU" w:eastAsia="en-US"/>
        </w:rPr>
        <w:t xml:space="preserve">- </w:t>
      </w:r>
      <w:r>
        <w:rPr>
          <w:rFonts w:eastAsia="Calibri"/>
          <w:bCs/>
          <w:sz w:val="24"/>
          <w:szCs w:val="24"/>
          <w:lang w:val="ru-RU" w:eastAsia="en-US"/>
        </w:rPr>
        <w:t xml:space="preserve">список сервисных центров по обслуживанию и ремонту поставляемой транспортных средств</w:t>
      </w:r>
      <w:r>
        <w:rPr>
          <w:rFonts w:eastAsia="Calibri"/>
          <w:bCs/>
          <w:sz w:val="24"/>
          <w:szCs w:val="24"/>
          <w:lang w:val="ru-RU" w:eastAsia="en-US"/>
        </w:rPr>
        <w:t xml:space="preserve">, расположенных на территории присутствия </w:t>
      </w:r>
      <w:r>
        <w:rPr>
          <w:rFonts w:eastAsia="Calibri"/>
          <w:sz w:val="24"/>
          <w:szCs w:val="24"/>
          <w:lang w:val="ru-RU" w:eastAsia="en-US"/>
        </w:rPr>
        <w:t xml:space="preserve"> АО «Россети Сибирь Тываэнерго»</w:t>
      </w:r>
      <w:r>
        <w:rPr>
          <w:rFonts w:eastAsia="Calibri"/>
          <w:bCs/>
          <w:sz w:val="24"/>
          <w:szCs w:val="24"/>
          <w:lang w:val="ru-RU" w:eastAsia="en-US"/>
        </w:rPr>
        <w:t xml:space="preserve">.</w:t>
      </w:r>
      <w:r>
        <w:rPr>
          <w:rFonts w:eastAsia="Calibri"/>
          <w:sz w:val="24"/>
          <w:szCs w:val="24"/>
          <w:lang w:val="ru-RU" w:eastAsia="en-US"/>
        </w:rPr>
      </w:r>
      <w:r>
        <w:rPr>
          <w:rFonts w:eastAsia="Calibri"/>
          <w:sz w:val="24"/>
          <w:szCs w:val="24"/>
          <w:lang w:val="ru-RU" w:eastAsia="en-US"/>
        </w:rPr>
      </w:r>
    </w:p>
    <w:p>
      <w:pPr>
        <w:numPr>
          <w:ilvl w:val="0"/>
          <w:numId w:val="12"/>
        </w:numPr>
        <w:jc w:val="both"/>
        <w:rPr>
          <w:rFonts w:eastAsia="Calibri"/>
          <w:b/>
          <w:bCs/>
          <w:sz w:val="24"/>
          <w:szCs w:val="24"/>
          <w:lang w:val="ru-RU" w:eastAsia="en-US"/>
        </w:rPr>
      </w:pPr>
      <w:r>
        <w:rPr>
          <w:rFonts w:eastAsia="Calibri"/>
          <w:b/>
          <w:bCs/>
          <w:sz w:val="24"/>
          <w:szCs w:val="24"/>
          <w:lang w:val="ru-RU" w:eastAsia="en-US"/>
        </w:rPr>
        <w:t xml:space="preserve">Гарантийные обязательства.</w:t>
      </w:r>
      <w:r>
        <w:rPr>
          <w:rFonts w:eastAsia="Calibri"/>
          <w:b/>
          <w:bCs/>
          <w:sz w:val="24"/>
          <w:szCs w:val="24"/>
          <w:lang w:val="ru-RU" w:eastAsia="en-US"/>
        </w:rPr>
      </w:r>
      <w:r>
        <w:rPr>
          <w:rFonts w:eastAsia="Calibri"/>
          <w:b/>
          <w:bCs/>
          <w:sz w:val="24"/>
          <w:szCs w:val="24"/>
          <w:lang w:val="ru-RU" w:eastAsia="en-US"/>
        </w:rPr>
      </w:r>
    </w:p>
    <w:p>
      <w:pPr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>
        <w:rPr>
          <w:rFonts w:eastAsia="Calibri"/>
          <w:sz w:val="24"/>
          <w:szCs w:val="24"/>
          <w:lang w:val="ru-RU" w:eastAsia="en-US"/>
        </w:rPr>
        <w:t xml:space="preserve">Срок гарантии на поставляемые </w:t>
      </w:r>
      <w:r>
        <w:rPr>
          <w:rFonts w:eastAsia="Calibri"/>
          <w:bCs/>
          <w:sz w:val="24"/>
          <w:szCs w:val="24"/>
          <w:lang w:val="ru-RU" w:eastAsia="en-US"/>
        </w:rPr>
        <w:t xml:space="preserve">транспортные средства </w:t>
      </w:r>
      <w:r>
        <w:rPr>
          <w:rFonts w:eastAsia="Calibri"/>
          <w:sz w:val="24"/>
          <w:szCs w:val="24"/>
          <w:lang w:val="ru-RU" w:eastAsia="en-US"/>
        </w:rPr>
        <w:t xml:space="preserve">должен быть не менее 24 месяцев. Время начала исчисления гарантийного срока – с момента подписания акта приема-передачи.</w:t>
      </w:r>
      <w:r>
        <w:rPr>
          <w:rFonts w:eastAsia="Calibri"/>
          <w:sz w:val="24"/>
          <w:szCs w:val="24"/>
          <w:lang w:val="ru-RU" w:eastAsia="en-US"/>
        </w:rPr>
      </w:r>
      <w:r>
        <w:rPr>
          <w:rFonts w:eastAsia="Calibri"/>
          <w:sz w:val="24"/>
          <w:szCs w:val="24"/>
          <w:lang w:val="ru-RU" w:eastAsia="en-US"/>
        </w:rPr>
      </w:r>
    </w:p>
    <w:p>
      <w:pPr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>
        <w:rPr>
          <w:rFonts w:eastAsia="Calibri"/>
          <w:sz w:val="24"/>
          <w:szCs w:val="24"/>
          <w:lang w:val="ru-RU" w:eastAsia="en-US"/>
        </w:rPr>
        <w:t xml:space="preserve"> В случае доставки поставщиком транспортного средства к месту поставки своим ходом (перегоном) и достижения пробега (наработки) при котором в соответствии с рекомендациями завода изготовителя необходимо </w:t>
      </w:r>
      <w:r>
        <w:rPr>
          <w:rFonts w:eastAsia="Calibri"/>
          <w:sz w:val="24"/>
          <w:szCs w:val="24"/>
          <w:lang w:val="ru-RU" w:eastAsia="en-US"/>
        </w:rPr>
        <w:t xml:space="preserve">проводить регламентное</w:t>
      </w:r>
      <w:r>
        <w:rPr>
          <w:rFonts w:eastAsia="Calibri"/>
          <w:sz w:val="24"/>
          <w:szCs w:val="24"/>
          <w:lang w:val="ru-RU" w:eastAsia="en-US"/>
        </w:rPr>
        <w:t xml:space="preserve"> техническое обслуживание, поставщик должен обеспечить проведение ТО в дилерском </w:t>
      </w:r>
      <w:r>
        <w:rPr>
          <w:rFonts w:eastAsia="Calibri"/>
          <w:sz w:val="24"/>
          <w:szCs w:val="24"/>
          <w:lang w:val="ru-RU" w:eastAsia="en-US"/>
        </w:rPr>
        <w:t xml:space="preserve">сервисном центре со свой счет с обязательной отметкой в сервисной книжке, а также предоставить копию акта приемки выполненных работ по проведению ТО.</w:t>
      </w:r>
      <w:r>
        <w:rPr>
          <w:rFonts w:eastAsia="Calibri"/>
          <w:sz w:val="24"/>
          <w:szCs w:val="24"/>
          <w:lang w:val="ru-RU" w:eastAsia="en-US"/>
        </w:rPr>
      </w:r>
      <w:r>
        <w:rPr>
          <w:rFonts w:eastAsia="Calibri"/>
          <w:sz w:val="24"/>
          <w:szCs w:val="24"/>
          <w:lang w:val="ru-RU" w:eastAsia="en-US"/>
        </w:rPr>
      </w:r>
    </w:p>
    <w:p>
      <w:pPr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>
        <w:rPr>
          <w:rFonts w:eastAsia="Calibri"/>
          <w:sz w:val="24"/>
          <w:szCs w:val="24"/>
          <w:lang w:val="ru-RU" w:eastAsia="en-US"/>
        </w:rPr>
        <w:t xml:space="preserve">Поставщик должен </w:t>
      </w:r>
      <w:r>
        <w:rPr>
          <w:rFonts w:eastAsia="Calibri"/>
          <w:sz w:val="24"/>
          <w:szCs w:val="24"/>
          <w:lang w:val="ru-RU" w:eastAsia="en-US"/>
        </w:rPr>
        <w:t xml:space="preserve">обеспечить проведение предпродажной подготовки</w:t>
      </w:r>
      <w:r>
        <w:rPr>
          <w:rFonts w:eastAsia="Calibri"/>
          <w:sz w:val="24"/>
          <w:szCs w:val="24"/>
          <w:lang w:val="ru-RU" w:eastAsia="en-US"/>
        </w:rPr>
        <w:t xml:space="preserve"> поставляемой техники</w:t>
      </w:r>
      <w:r>
        <w:rPr>
          <w:rFonts w:eastAsia="Calibri"/>
          <w:sz w:val="24"/>
          <w:szCs w:val="24"/>
          <w:lang w:val="ru-RU" w:eastAsia="en-US"/>
        </w:rPr>
        <w:t xml:space="preserve"> за свой счет</w:t>
      </w:r>
      <w:r>
        <w:rPr>
          <w:rFonts w:eastAsia="Calibri"/>
          <w:sz w:val="24"/>
          <w:szCs w:val="24"/>
          <w:lang w:val="ru-RU" w:eastAsia="en-US"/>
        </w:rPr>
        <w:t xml:space="preserve">.</w:t>
      </w:r>
      <w:r>
        <w:rPr>
          <w:rFonts w:eastAsia="Calibri"/>
          <w:sz w:val="24"/>
          <w:szCs w:val="24"/>
          <w:lang w:val="ru-RU" w:eastAsia="en-US"/>
        </w:rPr>
      </w:r>
      <w:r>
        <w:rPr>
          <w:rFonts w:eastAsia="Calibri"/>
          <w:sz w:val="24"/>
          <w:szCs w:val="24"/>
          <w:lang w:val="ru-RU" w:eastAsia="en-US"/>
        </w:rPr>
      </w:r>
    </w:p>
    <w:p>
      <w:pPr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>
        <w:rPr>
          <w:rFonts w:eastAsia="Calibri"/>
          <w:sz w:val="24"/>
          <w:szCs w:val="24"/>
          <w:lang w:val="ru-RU" w:eastAsia="en-US"/>
        </w:rPr>
        <w:t xml:space="preserve">Поставщик должен </w:t>
      </w:r>
      <w:r>
        <w:rPr>
          <w:color w:val="000000"/>
          <w:spacing w:val="-3"/>
          <w:sz w:val="24"/>
          <w:szCs w:val="26"/>
          <w:lang w:val="ru-RU"/>
        </w:rPr>
        <w:t xml:space="preserve">за</w:t>
      </w:r>
      <w:r>
        <w:rPr>
          <w:rFonts w:eastAsia="Calibri"/>
          <w:sz w:val="24"/>
          <w:szCs w:val="24"/>
          <w:lang w:val="ru-RU" w:eastAsia="en-US"/>
        </w:rPr>
        <w:t xml:space="preserve"> свой счет и в сроки, согласованные с заказчиком, устранять любые дефекты, не связанные с нарушением условий эксплуатации, в поставленной технике, выявленные в течение гарантийного срока. </w:t>
      </w:r>
      <w:r>
        <w:rPr>
          <w:rFonts w:eastAsia="Calibri"/>
          <w:sz w:val="24"/>
          <w:szCs w:val="24"/>
          <w:lang w:val="ru-RU" w:eastAsia="en-US"/>
        </w:rPr>
      </w:r>
      <w:r>
        <w:rPr>
          <w:rFonts w:eastAsia="Calibri"/>
          <w:sz w:val="24"/>
          <w:szCs w:val="24"/>
          <w:lang w:val="ru-RU" w:eastAsia="en-US"/>
        </w:rPr>
      </w:r>
    </w:p>
    <w:p>
      <w:pPr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>
        <w:rPr>
          <w:rFonts w:eastAsia="Calibri"/>
          <w:sz w:val="24"/>
          <w:szCs w:val="24"/>
          <w:lang w:val="ru-RU" w:eastAsia="en-US"/>
        </w:rPr>
        <w:t xml:space="preserve">Поставщик должен обеспечить исполнение гарантийных обязательств по месту базирования транспортного средства, либо оплатить затраты на транспортировку (проезд) к месту устранения неисправности (если сервисный центр находится на </w:t>
      </w:r>
      <w:r>
        <w:rPr>
          <w:rFonts w:eastAsia="Calibri"/>
          <w:sz w:val="24"/>
          <w:szCs w:val="24"/>
          <w:lang w:val="ru-RU" w:eastAsia="en-US"/>
        </w:rPr>
        <w:t xml:space="preserve">расстоянии</w:t>
      </w:r>
      <w:r>
        <w:rPr>
          <w:rFonts w:eastAsia="Calibri"/>
          <w:sz w:val="24"/>
          <w:szCs w:val="24"/>
          <w:lang w:val="ru-RU" w:eastAsia="en-US"/>
        </w:rPr>
        <w:t xml:space="preserve"> более </w:t>
      </w:r>
      <w:r>
        <w:rPr>
          <w:rFonts w:eastAsia="Calibri"/>
          <w:sz w:val="24"/>
          <w:szCs w:val="24"/>
          <w:lang w:val="en-US"/>
        </w:rPr>
        <w:t xml:space="preserve">400</w:t>
      </w:r>
      <w:r>
        <w:rPr>
          <w:rFonts w:eastAsia="Calibri"/>
          <w:sz w:val="24"/>
          <w:szCs w:val="24"/>
          <w:lang w:val="ru-RU" w:eastAsia="en-US"/>
        </w:rPr>
        <w:t xml:space="preserve"> км от места базирования транспортного средства).</w:t>
      </w:r>
      <w:r>
        <w:rPr>
          <w:rFonts w:eastAsia="Calibri"/>
          <w:sz w:val="24"/>
          <w:szCs w:val="24"/>
          <w:lang w:val="ru-RU" w:eastAsia="en-US"/>
        </w:rPr>
      </w:r>
      <w:r>
        <w:rPr>
          <w:rFonts w:eastAsia="Calibri"/>
          <w:sz w:val="24"/>
          <w:szCs w:val="24"/>
          <w:lang w:val="ru-RU" w:eastAsia="en-US"/>
        </w:rPr>
      </w:r>
    </w:p>
    <w:p>
      <w:pPr>
        <w:numPr>
          <w:ilvl w:val="0"/>
          <w:numId w:val="12"/>
        </w:numPr>
        <w:rPr>
          <w:rFonts w:eastAsia="Calibri"/>
          <w:b/>
          <w:bCs/>
          <w:sz w:val="24"/>
          <w:szCs w:val="24"/>
          <w:lang w:val="ru-RU" w:eastAsia="en-US"/>
        </w:rPr>
      </w:pPr>
      <w:r>
        <w:rPr>
          <w:rFonts w:eastAsia="Calibri"/>
          <w:b/>
          <w:bCs/>
          <w:sz w:val="24"/>
          <w:szCs w:val="24"/>
          <w:lang w:val="ru-RU" w:eastAsia="en-US"/>
        </w:rPr>
        <w:t xml:space="preserve">Правила приемки транспортных средств.</w:t>
      </w:r>
      <w:r>
        <w:rPr>
          <w:rFonts w:eastAsia="Calibri"/>
          <w:b/>
          <w:bCs/>
          <w:sz w:val="24"/>
          <w:szCs w:val="24"/>
          <w:lang w:val="ru-RU" w:eastAsia="en-US"/>
        </w:rPr>
      </w:r>
      <w:r>
        <w:rPr>
          <w:rFonts w:eastAsia="Calibri"/>
          <w:b/>
          <w:bCs/>
          <w:sz w:val="24"/>
          <w:szCs w:val="24"/>
          <w:lang w:val="ru-RU" w:eastAsia="en-US"/>
        </w:rPr>
      </w:r>
    </w:p>
    <w:p>
      <w:pPr>
        <w:contextualSpacing/>
        <w:ind w:firstLine="709"/>
        <w:jc w:val="both"/>
        <w:tabs>
          <w:tab w:val="left" w:pos="0" w:leader="none"/>
          <w:tab w:val="left" w:pos="993" w:leader="none"/>
          <w:tab w:val="left" w:pos="1134" w:leader="none"/>
        </w:tabs>
        <w:rPr>
          <w:rFonts w:eastAsia="Calibri"/>
          <w:sz w:val="24"/>
          <w:szCs w:val="24"/>
          <w:lang w:val="ru-RU" w:eastAsia="en-US"/>
        </w:rPr>
      </w:pPr>
      <w:r>
        <w:rPr>
          <w:rFonts w:eastAsia="Calibri"/>
          <w:bCs/>
          <w:sz w:val="24"/>
          <w:szCs w:val="24"/>
          <w:lang w:val="ru-RU" w:eastAsia="en-US"/>
        </w:rPr>
        <w:t xml:space="preserve">Транспортные средства</w:t>
      </w:r>
      <w:r>
        <w:rPr>
          <w:rFonts w:eastAsia="Calibri"/>
          <w:sz w:val="24"/>
          <w:szCs w:val="24"/>
          <w:lang w:val="ru-RU" w:eastAsia="en-US"/>
        </w:rPr>
        <w:t xml:space="preserve"> проходят входной контроль, осуществляемый представителями АО «Россети Сибирь Тываэнерго» с представителем участника при получении транспортных средств на склад. </w:t>
      </w:r>
      <w:r>
        <w:rPr>
          <w:rFonts w:eastAsia="Calibri"/>
          <w:sz w:val="24"/>
          <w:szCs w:val="24"/>
          <w:lang w:val="ru-RU" w:eastAsia="en-US"/>
        </w:rPr>
      </w:r>
      <w:r>
        <w:rPr>
          <w:rFonts w:eastAsia="Calibri"/>
          <w:sz w:val="24"/>
          <w:szCs w:val="24"/>
          <w:lang w:val="ru-RU" w:eastAsia="en-US"/>
        </w:rPr>
      </w:r>
    </w:p>
    <w:p>
      <w:pPr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>
        <w:rPr>
          <w:rFonts w:eastAsia="Calibri"/>
          <w:sz w:val="24"/>
          <w:szCs w:val="24"/>
          <w:lang w:val="ru-RU" w:eastAsia="en-US"/>
        </w:rPr>
        <w:t xml:space="preserve">При приемке </w:t>
      </w:r>
      <w:r>
        <w:rPr>
          <w:rFonts w:eastAsia="Calibri"/>
          <w:bCs/>
          <w:sz w:val="24"/>
          <w:szCs w:val="24"/>
          <w:lang w:val="ru-RU" w:eastAsia="en-US"/>
        </w:rPr>
        <w:t xml:space="preserve">техники</w:t>
      </w:r>
      <w:r>
        <w:rPr>
          <w:rFonts w:eastAsia="Calibri"/>
          <w:sz w:val="24"/>
          <w:szCs w:val="24"/>
          <w:lang w:val="ru-RU" w:eastAsia="en-US"/>
        </w:rPr>
        <w:t xml:space="preserve"> осуществляется:</w:t>
      </w:r>
      <w:r>
        <w:rPr>
          <w:rFonts w:eastAsia="Calibri"/>
          <w:sz w:val="24"/>
          <w:szCs w:val="24"/>
          <w:lang w:val="ru-RU" w:eastAsia="en-US"/>
        </w:rPr>
      </w:r>
      <w:r>
        <w:rPr>
          <w:rFonts w:eastAsia="Calibri"/>
          <w:sz w:val="24"/>
          <w:szCs w:val="24"/>
          <w:lang w:val="ru-RU" w:eastAsia="en-US"/>
        </w:rPr>
      </w:r>
    </w:p>
    <w:p>
      <w:pPr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>
        <w:rPr>
          <w:rFonts w:eastAsia="Calibri"/>
          <w:sz w:val="24"/>
          <w:szCs w:val="24"/>
          <w:lang w:val="ru-RU" w:eastAsia="en-US"/>
        </w:rPr>
        <w:t xml:space="preserve">– проверка комплектности;</w:t>
      </w:r>
      <w:r>
        <w:rPr>
          <w:rFonts w:eastAsia="Calibri"/>
          <w:sz w:val="24"/>
          <w:szCs w:val="24"/>
          <w:lang w:val="ru-RU" w:eastAsia="en-US"/>
        </w:rPr>
      </w:r>
      <w:r>
        <w:rPr>
          <w:rFonts w:eastAsia="Calibri"/>
          <w:sz w:val="24"/>
          <w:szCs w:val="24"/>
          <w:lang w:val="ru-RU" w:eastAsia="en-US"/>
        </w:rPr>
      </w:r>
    </w:p>
    <w:p>
      <w:pPr>
        <w:ind w:firstLine="709"/>
        <w:jc w:val="both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  <w:lang w:val="ru-RU" w:eastAsia="en-US"/>
        </w:rPr>
        <w:t xml:space="preserve">– проверка соотв</w:t>
      </w:r>
      <w:r>
        <w:rPr>
          <w:rFonts w:eastAsia="Calibri"/>
          <w:sz w:val="24"/>
          <w:szCs w:val="24"/>
          <w:highlight w:val="white"/>
          <w:lang w:val="ru-RU" w:eastAsia="en-US"/>
        </w:rPr>
        <w:t xml:space="preserve">етствия маркировки</w:t>
      </w:r>
      <w:r>
        <w:rPr>
          <w:rFonts w:eastAsia="Calibri"/>
          <w:sz w:val="24"/>
          <w:szCs w:val="24"/>
          <w:highlight w:val="white"/>
          <w:lang w:val="ru-RU" w:eastAsia="en-US"/>
        </w:rPr>
        <w:t xml:space="preserve"> и технических характеристик транспортных средств требованиям технического задания;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firstLine="709"/>
        <w:jc w:val="both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  <w:lang w:val="ru-RU" w:eastAsia="en-US"/>
        </w:rPr>
        <w:t xml:space="preserve">- наличие документации, </w:t>
      </w:r>
      <w:r>
        <w:rPr>
          <w:sz w:val="24"/>
          <w:szCs w:val="18"/>
          <w:highlight w:val="white"/>
          <w:shd w:val="clear" w:color="auto" w:fill="ebf4fc"/>
          <w:lang w:val="ru-RU"/>
        </w:rPr>
        <w:t xml:space="preserve">подписанного договора купли-продажи в упрощенной форме на каждую единицу поставляемой техники;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firstLine="709"/>
        <w:jc w:val="both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  <w:lang w:val="ru-RU" w:eastAsia="en-US"/>
        </w:rPr>
        <w:t xml:space="preserve">– проверка работоспособности всех узлов и агрегатов.;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firstLine="709"/>
        <w:jc w:val="both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  <w:lang w:val="ru-RU" w:eastAsia="en-US"/>
        </w:rPr>
        <w:t xml:space="preserve">– проверка соответствия данных паспорта транспортного </w:t>
      </w:r>
      <w:r>
        <w:rPr>
          <w:rFonts w:eastAsia="Calibri"/>
          <w:sz w:val="24"/>
          <w:szCs w:val="24"/>
          <w:highlight w:val="white"/>
          <w:lang w:val="ru-RU" w:eastAsia="en-US"/>
        </w:rPr>
        <w:t xml:space="preserve">средства</w:t>
      </w:r>
      <w:r>
        <w:rPr>
          <w:rFonts w:eastAsia="Calibri"/>
          <w:sz w:val="24"/>
          <w:szCs w:val="24"/>
          <w:highlight w:val="white"/>
          <w:lang w:val="ru-RU" w:eastAsia="en-US"/>
        </w:rPr>
        <w:t xml:space="preserve"> но</w:t>
      </w:r>
      <w:r>
        <w:rPr>
          <w:rFonts w:eastAsia="Calibri"/>
          <w:sz w:val="24"/>
          <w:szCs w:val="24"/>
          <w:highlight w:val="white"/>
          <w:lang w:val="ru-RU" w:eastAsia="en-US"/>
        </w:rPr>
        <w:t xml:space="preserve">мерам шасси, рамы, кузова и </w:t>
      </w:r>
      <w:r>
        <w:rPr>
          <w:rFonts w:eastAsia="Calibri"/>
          <w:sz w:val="24"/>
          <w:szCs w:val="24"/>
          <w:highlight w:val="white"/>
          <w:lang w:val="ru-RU" w:eastAsia="en-US"/>
        </w:rPr>
        <w:t xml:space="preserve">т.д</w:t>
      </w:r>
      <w:r>
        <w:rPr>
          <w:rFonts w:eastAsia="Calibri"/>
          <w:sz w:val="24"/>
          <w:szCs w:val="24"/>
          <w:highlight w:val="white"/>
          <w:lang w:val="ru-RU" w:eastAsia="en-US"/>
        </w:rPr>
        <w:t xml:space="preserve">;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firstLine="709"/>
        <w:jc w:val="both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  <w:lang w:val="ru-RU" w:eastAsia="en-US"/>
        </w:rPr>
        <w:t xml:space="preserve">- проверка соответствия заводского номера установленного грузоподъёмного оборудования данных паспорта.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jc w:val="center"/>
        <w:rPr>
          <w:rFonts w:eastAsia="Calibri"/>
          <w:b/>
          <w:bCs/>
          <w:sz w:val="24"/>
          <w:szCs w:val="24"/>
          <w:lang w:val="ru-RU" w:eastAsia="en-US"/>
        </w:rPr>
      </w:pPr>
      <w:r>
        <w:rPr>
          <w:rFonts w:eastAsia="Calibri"/>
          <w:b/>
          <w:bCs/>
          <w:sz w:val="24"/>
          <w:szCs w:val="24"/>
          <w:lang w:val="ru-RU" w:eastAsia="en-US"/>
        </w:rPr>
      </w:r>
      <w:r>
        <w:rPr>
          <w:rFonts w:eastAsia="Calibri"/>
          <w:b/>
          <w:bCs/>
          <w:sz w:val="24"/>
          <w:szCs w:val="24"/>
          <w:lang w:val="ru-RU" w:eastAsia="en-US"/>
        </w:rPr>
      </w:r>
      <w:r>
        <w:rPr>
          <w:rFonts w:eastAsia="Calibri"/>
          <w:b/>
          <w:bCs/>
          <w:sz w:val="24"/>
          <w:szCs w:val="24"/>
          <w:lang w:val="ru-RU" w:eastAsia="en-US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1186"/>
        <w:gridCol w:w="3954"/>
        <w:gridCol w:w="1581"/>
        <w:gridCol w:w="2371"/>
      </w:tblGrid>
      <w:tr>
        <w:tblPrEx/>
        <w:trPr>
          <w:trHeight w:val="5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№ п/п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Дата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Должность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1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Подпись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ФИО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1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4" w:type="dxa"/>
            <w:vAlign w:val="center"/>
            <w:textDirection w:val="lrTb"/>
            <w:noWrap w:val="false"/>
          </w:tcPr>
          <w:p>
            <w:pPr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1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2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4" w:type="dxa"/>
            <w:vAlign w:val="center"/>
            <w:textDirection w:val="lrTb"/>
            <w:noWrap w:val="false"/>
          </w:tcPr>
          <w:p>
            <w:pPr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1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4" w:type="dxa"/>
            <w:vAlign w:val="center"/>
            <w:textDirection w:val="lrTb"/>
            <w:noWrap w:val="false"/>
          </w:tcPr>
          <w:p>
            <w:pPr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1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8789" w:leader="none"/>
              </w:tabs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  <w:r>
              <w:rPr>
                <w:rFonts w:eastAsia="Calibri"/>
                <w:sz w:val="24"/>
                <w:szCs w:val="24"/>
                <w:lang w:val="ru-RU" w:eastAsia="en-US"/>
              </w:rPr>
            </w:r>
          </w:p>
        </w:tc>
      </w:tr>
    </w:tbl>
    <w:p>
      <w:pPr>
        <w:jc w:val="both"/>
        <w:rPr>
          <w:rFonts w:eastAsia="Calibri"/>
          <w:i/>
          <w:sz w:val="24"/>
          <w:szCs w:val="24"/>
          <w:lang w:val="ru-RU" w:eastAsia="en-US"/>
        </w:rPr>
      </w:pPr>
      <w:r>
        <w:rPr>
          <w:rFonts w:eastAsia="Calibri"/>
          <w:i/>
          <w:sz w:val="24"/>
          <w:szCs w:val="24"/>
          <w:lang w:val="ru-RU" w:eastAsia="en-US"/>
        </w:rPr>
        <w:t xml:space="preserve">- </w:t>
      </w:r>
      <w:r>
        <w:rPr>
          <w:rFonts w:eastAsia="Calibri"/>
          <w:i/>
          <w:sz w:val="24"/>
          <w:szCs w:val="24"/>
          <w:lang w:val="ru-RU" w:eastAsia="en-US"/>
        </w:rPr>
        <w:t xml:space="preserve">Текст,</w:t>
      </w:r>
      <w:r>
        <w:rPr>
          <w:rFonts w:eastAsia="Calibri"/>
          <w:i/>
          <w:sz w:val="24"/>
          <w:szCs w:val="24"/>
          <w:lang w:val="ru-RU" w:eastAsia="en-US"/>
        </w:rPr>
        <w:t xml:space="preserve"> выделенный </w:t>
      </w:r>
      <w:r>
        <w:rPr>
          <w:rFonts w:eastAsia="Calibri"/>
          <w:i/>
          <w:sz w:val="24"/>
          <w:szCs w:val="24"/>
          <w:lang w:val="ru-RU" w:eastAsia="en-US"/>
        </w:rPr>
        <w:t xml:space="preserve">курсивом,</w:t>
      </w:r>
      <w:r>
        <w:rPr>
          <w:rFonts w:eastAsia="Calibri"/>
          <w:i/>
          <w:sz w:val="24"/>
          <w:szCs w:val="24"/>
          <w:lang w:val="ru-RU" w:eastAsia="en-US"/>
        </w:rPr>
        <w:t xml:space="preserve"> является пояснительной информацией или указан в типовом ТЗ в качестве примера. При формировании ТЗ текст, выделенный курсивом, должен быть удален или </w:t>
      </w:r>
      <w:r>
        <w:rPr>
          <w:rFonts w:eastAsia="Calibri"/>
          <w:i/>
          <w:sz w:val="24"/>
          <w:szCs w:val="24"/>
          <w:lang w:val="ru-RU" w:eastAsia="en-US"/>
        </w:rPr>
        <w:t xml:space="preserve">актуализирован</w:t>
      </w:r>
      <w:r>
        <w:rPr>
          <w:rFonts w:eastAsia="Calibri"/>
          <w:i/>
          <w:sz w:val="24"/>
          <w:szCs w:val="24"/>
          <w:lang w:val="ru-RU" w:eastAsia="en-US"/>
        </w:rPr>
        <w:t xml:space="preserve">.</w:t>
      </w:r>
      <w:r>
        <w:rPr>
          <w:rFonts w:eastAsia="Calibri"/>
          <w:i/>
          <w:sz w:val="24"/>
          <w:szCs w:val="24"/>
          <w:lang w:val="ru-RU" w:eastAsia="en-US"/>
        </w:rPr>
      </w:r>
      <w:r>
        <w:rPr>
          <w:rFonts w:eastAsia="Calibri"/>
          <w:i/>
          <w:sz w:val="24"/>
          <w:szCs w:val="24"/>
          <w:lang w:val="ru-RU" w:eastAsia="en-US"/>
        </w:rPr>
      </w:r>
    </w:p>
    <w:p>
      <w:pPr>
        <w:jc w:val="both"/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i/>
          <w:sz w:val="24"/>
          <w:szCs w:val="24"/>
          <w:highlight w:val="white"/>
          <w:lang w:val="ru-RU" w:eastAsia="en-US"/>
        </w:rPr>
        <w:t xml:space="preserve">- Техническое задание должно быть сформировано с учетом </w:t>
      </w:r>
      <w:r>
        <w:rPr>
          <w:rFonts w:eastAsia="Calibri"/>
          <w:i/>
          <w:sz w:val="24"/>
          <w:szCs w:val="24"/>
          <w:highlight w:val="white"/>
          <w:lang w:val="ru-RU" w:eastAsia="en-US"/>
        </w:rPr>
        <w:t xml:space="preserve">методических</w:t>
      </w:r>
      <w:r>
        <w:rPr>
          <w:rFonts w:eastAsia="Calibri"/>
          <w:i/>
          <w:sz w:val="24"/>
          <w:szCs w:val="24"/>
          <w:highlight w:val="white"/>
          <w:lang w:val="ru-RU" w:eastAsia="en-US"/>
        </w:rPr>
        <w:t xml:space="preserve"> указаний и типовых требований </w:t>
      </w:r>
      <w:r>
        <w:rPr>
          <w:rFonts w:eastAsia="Calibri"/>
          <w:i/>
          <w:sz w:val="24"/>
          <w:szCs w:val="24"/>
          <w:highlight w:val="white"/>
          <w:lang w:val="ru-RU" w:eastAsia="en-US"/>
        </w:rPr>
        <w:t xml:space="preserve">для автоспецтехники указанных</w:t>
      </w:r>
      <w:r>
        <w:rPr>
          <w:rFonts w:eastAsia="Calibri"/>
          <w:i/>
          <w:sz w:val="24"/>
          <w:szCs w:val="24"/>
          <w:highlight w:val="white"/>
          <w:lang w:val="ru-RU" w:eastAsia="en-US"/>
        </w:rPr>
        <w:t xml:space="preserve"> </w:t>
      </w:r>
      <w:r>
        <w:rPr>
          <w:rFonts w:eastAsia="Calibri"/>
          <w:i/>
          <w:sz w:val="24"/>
          <w:szCs w:val="24"/>
          <w:highlight w:val="white"/>
          <w:lang w:val="ru-RU" w:eastAsia="en-US"/>
        </w:rPr>
        <w:t xml:space="preserve">СО 5.086.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jc w:val="both"/>
        <w:rPr>
          <w:rFonts w:eastAsia="Calibri"/>
          <w:bCs/>
          <w:i/>
          <w:sz w:val="24"/>
          <w:szCs w:val="24"/>
          <w:highlight w:val="white"/>
        </w:rPr>
      </w:pPr>
      <w:r>
        <w:rPr>
          <w:rFonts w:eastAsia="Calibri"/>
          <w:i/>
          <w:sz w:val="24"/>
          <w:szCs w:val="24"/>
          <w:highlight w:val="none"/>
          <w:lang w:val="ru-RU"/>
        </w:rPr>
        <w:t xml:space="preserve">** – раздел таблицы заполняется сотрудниками департамента Логистики и МТО</w:t>
      </w:r>
      <w:r>
        <w:rPr>
          <w:rFonts w:eastAsia="Calibri"/>
          <w:bCs/>
          <w:i/>
          <w:sz w:val="24"/>
          <w:szCs w:val="24"/>
          <w:highlight w:val="white"/>
        </w:rPr>
      </w:r>
      <w:r>
        <w:rPr>
          <w:rFonts w:eastAsia="Calibri"/>
          <w:bCs/>
          <w:i/>
          <w:sz w:val="24"/>
          <w:szCs w:val="24"/>
          <w:highlight w:val="white"/>
        </w:rPr>
      </w:r>
    </w:p>
    <w:sectPr>
      <w:headerReference w:type="default" r:id="rId9"/>
      <w:footnotePr/>
      <w:endnotePr/>
      <w:type w:val="nextPage"/>
      <w:pgSz w:w="12240" w:h="15840" w:orient="portrait"/>
      <w:pgMar w:top="1418" w:right="850" w:bottom="1276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Calibri">
    <w:panose1 w:val="020F0502020204030204"/>
  </w:font>
  <w:font w:name="a_FuturicaBs">
    <w:panose1 w:val="02000603000000000000"/>
  </w:font>
  <w:font w:name="Arial">
    <w:panose1 w:val="020B0604020202020204"/>
  </w:font>
  <w:font w:name="Times New Roman">
    <w:panose1 w:val="02020603050405020304"/>
  </w:font>
  <w:font w:name="Courier">
    <w:panose1 w:val="020604090202050204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3"/>
      <w:rPr>
        <w:lang w:val="ru-RU"/>
      </w:rPr>
    </w:pPr>
    <w:r>
      <w:rPr>
        <w:lang w:val="ru-RU"/>
      </w:rPr>
    </w:r>
    <w:r>
      <w:rPr>
        <w:lang w:val="ru-RU"/>
      </w:rPr>
    </w:r>
    <w:r>
      <w:rPr>
        <w:lang w:val="ru-RU"/>
      </w:rPr>
    </w:r>
  </w:p>
  <w:p>
    <w:pPr>
      <w:pStyle w:val="773"/>
      <w:rPr>
        <w:lang w:val="ru-RU"/>
      </w:rPr>
    </w:pPr>
    <w:r>
      <w:rPr>
        <w:lang w:val="ru-RU"/>
      </w:rPr>
    </w:r>
    <w:r>
      <w:rPr>
        <w:lang w:val="ru-RU"/>
      </w:rPr>
    </w:r>
    <w:r>
      <w:rPr>
        <w:lang w:val="ru-RU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57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29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01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73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45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17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89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61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334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55" w:hanging="360"/>
        <w:tabs>
          <w:tab w:val="num" w:pos="1855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  <w:tabs>
          <w:tab w:val="num" w:pos="1724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  <w:tabs>
          <w:tab w:val="num" w:pos="2444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  <w:tabs>
          <w:tab w:val="num" w:pos="3164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  <w:tabs>
          <w:tab w:val="num" w:pos="3884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  <w:tabs>
          <w:tab w:val="num" w:pos="4604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  <w:tabs>
          <w:tab w:val="num" w:pos="5324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  <w:tabs>
          <w:tab w:val="num" w:pos="6044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  <w:tabs>
          <w:tab w:val="num" w:pos="6764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  <w:tabs>
          <w:tab w:val="num" w:pos="108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  <w:tabs>
          <w:tab w:val="num" w:pos="25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  <w:rPr>
        <w:b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decimal"/>
      <w:pStyle w:val="927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pStyle w:val="943"/>
      <w:isLgl w:val="false"/>
      <w:suff w:val="tab"/>
      <w:lvlText w:val="%1."/>
      <w:lvlJc w:val="center"/>
      <w:pPr>
        <w:ind w:left="567" w:hanging="279"/>
        <w:tabs>
          <w:tab w:val="num" w:pos="567" w:leader="none"/>
        </w:tabs>
      </w:pPr>
    </w:lvl>
    <w:lvl w:ilvl="1">
      <w:start w:val="5"/>
      <w:numFmt w:val="decimal"/>
      <w:isLgl w:val="false"/>
      <w:suff w:val="tab"/>
      <w:lvlText w:val="4.%2.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940"/>
      <w:isLgl w:val="false"/>
      <w:suff w:val="tab"/>
      <w:lvlText w:val="5.4.1.1."/>
      <w:lvlJc w:val="left"/>
      <w:pPr>
        <w:ind w:left="851" w:hanging="851"/>
        <w:tabs>
          <w:tab w:val="num" w:pos="1080" w:leader="none"/>
        </w:tabs>
      </w:pPr>
    </w:lvl>
    <w:lvl w:ilvl="3">
      <w:start w:val="1"/>
      <w:numFmt w:val="decimal"/>
      <w:pStyle w:val="941"/>
      <w:isLgl w:val="false"/>
      <w:suff w:val="tab"/>
      <w:lvlText w:val="%1.%2.%3.%4."/>
      <w:lvlJc w:val="left"/>
      <w:pPr>
        <w:ind w:left="1844" w:hanging="567"/>
        <w:tabs>
          <w:tab w:val="num" w:pos="1844" w:leader="none"/>
        </w:tabs>
      </w:pPr>
    </w:lvl>
    <w:lvl w:ilvl="4">
      <w:start w:val="1"/>
      <w:numFmt w:val="lowerLetter"/>
      <w:pStyle w:val="942"/>
      <w:isLgl w:val="false"/>
      <w:suff w:val="tab"/>
      <w:lvlText w:val="%5)"/>
      <w:lvlJc w:val="left"/>
      <w:pPr>
        <w:ind w:left="3560" w:hanging="1008"/>
        <w:tabs>
          <w:tab w:val="num" w:pos="356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92" w:hanging="1152"/>
        <w:tabs>
          <w:tab w:val="num" w:pos="259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736" w:hanging="1296"/>
        <w:tabs>
          <w:tab w:val="num" w:pos="273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80" w:hanging="1440"/>
        <w:tabs>
          <w:tab w:val="num" w:pos="288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024" w:hanging="1584"/>
        <w:tabs>
          <w:tab w:val="num" w:pos="3024" w:leader="none"/>
        </w:tabs>
      </w:pPr>
    </w:lvl>
  </w:abstractNum>
  <w:abstractNum w:abstractNumId="7">
    <w:multiLevelType w:val="hybridMultilevel"/>
    <w:lvl w:ilvl="0">
      <w:start w:val="9"/>
      <w:numFmt w:val="decimal"/>
      <w:pStyle w:val="748"/>
      <w:isLgl w:val="false"/>
      <w:suff w:val="tab"/>
      <w:lvlText w:val="%1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80" w:hanging="780"/>
        <w:tabs>
          <w:tab w:val="num" w:pos="7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80" w:hanging="780"/>
        <w:tabs>
          <w:tab w:val="num" w:pos="7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80" w:hanging="780"/>
        <w:tabs>
          <w:tab w:val="num" w:pos="78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-141" w:firstLine="709"/>
      </w:pPr>
      <w:rPr>
        <w:b/>
        <w:i w:val="0"/>
      </w:rPr>
    </w:lvl>
    <w:lvl w:ilvl="1">
      <w:start w:val="1"/>
      <w:numFmt w:val="decimal"/>
      <w:isLgl w:val="false"/>
      <w:suff w:val="space"/>
      <w:lvlText w:val="%1.%2."/>
      <w:lvlJc w:val="left"/>
      <w:pPr>
        <w:ind w:left="0" w:firstLine="709"/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0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  <w:rPr>
        <w:b/>
        <w:i w:val="0"/>
      </w:rPr>
    </w:lvl>
    <w:lvl w:ilvl="1">
      <w:start w:val="1"/>
      <w:numFmt w:val="decimal"/>
      <w:isLgl w:val="false"/>
      <w:suff w:val="space"/>
      <w:lvlText w:val="%1.%2."/>
      <w:lvlJc w:val="left"/>
      <w:pPr>
        <w:ind w:left="0" w:firstLine="709"/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  <w:rPr>
        <w:b/>
        <w:i w:val="0"/>
      </w:rPr>
    </w:lvl>
    <w:lvl w:ilvl="1">
      <w:start w:val="1"/>
      <w:numFmt w:val="decimal"/>
      <w:isLgl w:val="false"/>
      <w:suff w:val="space"/>
      <w:lvlText w:val="%1.%2."/>
      <w:lvlJc w:val="left"/>
      <w:pPr>
        <w:ind w:left="0" w:firstLine="709"/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  <w:rPr>
        <w:b/>
        <w:i w:val="0"/>
      </w:rPr>
    </w:lvl>
    <w:lvl w:ilvl="1">
      <w:start w:val="1"/>
      <w:numFmt w:val="decimal"/>
      <w:isLgl w:val="false"/>
      <w:suff w:val="space"/>
      <w:lvlText w:val="%1.%2."/>
      <w:lvlJc w:val="left"/>
      <w:pPr>
        <w:ind w:left="0" w:firstLine="709"/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709"/>
      </w:pPr>
      <w:rPr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0" w:firstLine="709"/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7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11"/>
  </w:num>
  <w:num w:numId="5">
    <w:abstractNumId w:val="13"/>
  </w:num>
  <w:num w:numId="6">
    <w:abstractNumId w:val="8"/>
  </w:num>
  <w:num w:numId="7">
    <w:abstractNumId w:val="1"/>
  </w:num>
  <w:num w:numId="8">
    <w:abstractNumId w:val="0"/>
  </w:num>
  <w:num w:numId="9">
    <w:abstractNumId w:val="3"/>
  </w:num>
  <w:num w:numId="10">
    <w:abstractNumId w:val="2"/>
  </w:num>
  <w:num w:numId="11">
    <w:abstractNumId w:val="10"/>
  </w:num>
  <w:num w:numId="12">
    <w:abstractNumId w:val="12"/>
  </w:num>
  <w:num w:numId="13">
    <w:abstractNumId w:val="5"/>
  </w:num>
  <w:num w:numId="14">
    <w:abstractNumId w:val="9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ourier" w:hAnsi="Courier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8">
    <w:name w:val="Heading 1 Char"/>
    <w:basedOn w:val="751"/>
    <w:link w:val="742"/>
    <w:uiPriority w:val="9"/>
    <w:rPr>
      <w:rFonts w:ascii="Arial" w:hAnsi="Arial" w:eastAsia="Arial" w:cs="Arial"/>
      <w:sz w:val="40"/>
      <w:szCs w:val="40"/>
    </w:rPr>
  </w:style>
  <w:style w:type="character" w:styleId="709">
    <w:name w:val="Heading 2 Char"/>
    <w:basedOn w:val="751"/>
    <w:link w:val="743"/>
    <w:uiPriority w:val="9"/>
    <w:rPr>
      <w:rFonts w:ascii="Arial" w:hAnsi="Arial" w:eastAsia="Arial" w:cs="Arial"/>
      <w:sz w:val="34"/>
    </w:rPr>
  </w:style>
  <w:style w:type="character" w:styleId="710">
    <w:name w:val="Heading 3 Char"/>
    <w:basedOn w:val="751"/>
    <w:link w:val="744"/>
    <w:uiPriority w:val="9"/>
    <w:rPr>
      <w:rFonts w:ascii="Arial" w:hAnsi="Arial" w:eastAsia="Arial" w:cs="Arial"/>
      <w:sz w:val="30"/>
      <w:szCs w:val="30"/>
    </w:rPr>
  </w:style>
  <w:style w:type="character" w:styleId="711">
    <w:name w:val="Heading 5 Char"/>
    <w:basedOn w:val="751"/>
    <w:link w:val="746"/>
    <w:uiPriority w:val="9"/>
    <w:rPr>
      <w:rFonts w:ascii="Arial" w:hAnsi="Arial" w:eastAsia="Arial" w:cs="Arial"/>
      <w:b/>
      <w:bCs/>
      <w:sz w:val="24"/>
      <w:szCs w:val="24"/>
    </w:rPr>
  </w:style>
  <w:style w:type="character" w:styleId="712">
    <w:name w:val="Heading 6 Char"/>
    <w:basedOn w:val="751"/>
    <w:link w:val="747"/>
    <w:uiPriority w:val="9"/>
    <w:rPr>
      <w:rFonts w:ascii="Arial" w:hAnsi="Arial" w:eastAsia="Arial" w:cs="Arial"/>
      <w:b/>
      <w:bCs/>
      <w:sz w:val="22"/>
      <w:szCs w:val="22"/>
    </w:rPr>
  </w:style>
  <w:style w:type="character" w:styleId="713">
    <w:name w:val="Heading 7 Char"/>
    <w:basedOn w:val="751"/>
    <w:link w:val="7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4">
    <w:name w:val="Heading 8 Char"/>
    <w:basedOn w:val="751"/>
    <w:link w:val="749"/>
    <w:uiPriority w:val="9"/>
    <w:rPr>
      <w:rFonts w:ascii="Arial" w:hAnsi="Arial" w:eastAsia="Arial" w:cs="Arial"/>
      <w:i/>
      <w:iCs/>
      <w:sz w:val="22"/>
      <w:szCs w:val="22"/>
    </w:rPr>
  </w:style>
  <w:style w:type="character" w:styleId="715">
    <w:name w:val="Heading 9 Char"/>
    <w:basedOn w:val="751"/>
    <w:link w:val="750"/>
    <w:uiPriority w:val="9"/>
    <w:rPr>
      <w:rFonts w:ascii="Arial" w:hAnsi="Arial" w:eastAsia="Arial" w:cs="Arial"/>
      <w:i/>
      <w:iCs/>
      <w:sz w:val="21"/>
      <w:szCs w:val="21"/>
    </w:rPr>
  </w:style>
  <w:style w:type="character" w:styleId="716">
    <w:name w:val="Title Char"/>
    <w:basedOn w:val="751"/>
    <w:link w:val="765"/>
    <w:uiPriority w:val="10"/>
    <w:rPr>
      <w:sz w:val="48"/>
      <w:szCs w:val="48"/>
    </w:rPr>
  </w:style>
  <w:style w:type="character" w:styleId="717">
    <w:name w:val="Subtitle Char"/>
    <w:basedOn w:val="751"/>
    <w:link w:val="767"/>
    <w:uiPriority w:val="11"/>
    <w:rPr>
      <w:sz w:val="24"/>
      <w:szCs w:val="24"/>
    </w:rPr>
  </w:style>
  <w:style w:type="character" w:styleId="718">
    <w:name w:val="Quote Char"/>
    <w:link w:val="769"/>
    <w:uiPriority w:val="29"/>
    <w:rPr>
      <w:i/>
    </w:rPr>
  </w:style>
  <w:style w:type="character" w:styleId="719">
    <w:name w:val="Intense Quote Char"/>
    <w:link w:val="771"/>
    <w:uiPriority w:val="30"/>
    <w:rPr>
      <w:i/>
    </w:rPr>
  </w:style>
  <w:style w:type="table" w:styleId="720">
    <w:name w:val="Plain Table 1"/>
    <w:basedOn w:val="7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2"/>
    <w:basedOn w:val="7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3">
    <w:name w:val="Plain Table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Plain Table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>
    <w:name w:val="Grid Table 1 Light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4"/>
    <w:basedOn w:val="7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>
    <w:name w:val="Grid Table 5 Dark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7 Colorful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4">
    <w:name w:val="List Table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List Table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List Table 5 Dark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7">
    <w:name w:val="List Table 6 Colorful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38">
    <w:name w:val="List Table 7 Colorful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739">
    <w:name w:val="Footnote Text Char"/>
    <w:link w:val="906"/>
    <w:uiPriority w:val="99"/>
    <w:rPr>
      <w:sz w:val="18"/>
    </w:rPr>
  </w:style>
  <w:style w:type="character" w:styleId="740">
    <w:name w:val="Endnote Text Char"/>
    <w:link w:val="909"/>
    <w:uiPriority w:val="99"/>
    <w:rPr>
      <w:sz w:val="20"/>
    </w:rPr>
  </w:style>
  <w:style w:type="paragraph" w:styleId="741" w:default="1">
    <w:name w:val="Normal"/>
    <w:qFormat/>
    <w:rPr>
      <w:rFonts w:ascii="Times New Roman" w:hAnsi="Times New Roman"/>
      <w:lang w:val="en-US" w:eastAsia="ru-RU"/>
    </w:rPr>
  </w:style>
  <w:style w:type="paragraph" w:styleId="742">
    <w:name w:val="Heading 1"/>
    <w:basedOn w:val="741"/>
    <w:next w:val="741"/>
    <w:link w:val="754"/>
    <w:qFormat/>
    <w:pPr>
      <w:jc w:val="center"/>
      <w:keepNext/>
      <w:tabs>
        <w:tab w:val="left" w:pos="567" w:leader="none"/>
      </w:tabs>
      <w:outlineLvl w:val="0"/>
    </w:pPr>
    <w:rPr>
      <w:sz w:val="24"/>
      <w:szCs w:val="24"/>
      <w:lang w:val="ru-RU"/>
    </w:rPr>
  </w:style>
  <w:style w:type="paragraph" w:styleId="743">
    <w:name w:val="Heading 2"/>
    <w:basedOn w:val="741"/>
    <w:next w:val="741"/>
    <w:link w:val="75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4">
    <w:name w:val="Heading 3"/>
    <w:basedOn w:val="741"/>
    <w:next w:val="741"/>
    <w:link w:val="756"/>
    <w:qFormat/>
    <w:pPr>
      <w:keepNext/>
      <w:outlineLvl w:val="2"/>
    </w:pPr>
    <w:rPr>
      <w:rFonts w:ascii="a_FuturicaBs" w:hAnsi="a_FuturicaBs"/>
      <w:sz w:val="24"/>
      <w:lang w:val="ru-RU"/>
    </w:rPr>
  </w:style>
  <w:style w:type="paragraph" w:styleId="745">
    <w:name w:val="Heading 4"/>
    <w:basedOn w:val="741"/>
    <w:next w:val="741"/>
    <w:link w:val="949"/>
    <w:uiPriority w:val="9"/>
    <w:qFormat/>
    <w:pPr>
      <w:ind w:left="-392" w:right="318" w:firstLine="392"/>
      <w:jc w:val="center"/>
      <w:keepNext/>
      <w:tabs>
        <w:tab w:val="left" w:pos="567" w:leader="none"/>
      </w:tabs>
      <w:outlineLvl w:val="3"/>
    </w:pPr>
    <w:rPr>
      <w:sz w:val="24"/>
      <w:szCs w:val="24"/>
      <w:lang w:eastAsia="en-US"/>
    </w:rPr>
  </w:style>
  <w:style w:type="paragraph" w:styleId="746">
    <w:name w:val="Heading 5"/>
    <w:basedOn w:val="741"/>
    <w:next w:val="741"/>
    <w:link w:val="758"/>
    <w:qFormat/>
    <w:pPr>
      <w:ind w:left="-392" w:firstLine="392"/>
      <w:keepNext/>
      <w:tabs>
        <w:tab w:val="left" w:pos="567" w:leader="none"/>
      </w:tabs>
      <w:outlineLvl w:val="4"/>
    </w:pPr>
    <w:rPr>
      <w:sz w:val="24"/>
      <w:szCs w:val="24"/>
      <w:lang w:val="ru-RU"/>
    </w:rPr>
  </w:style>
  <w:style w:type="paragraph" w:styleId="747">
    <w:name w:val="Heading 6"/>
    <w:basedOn w:val="741"/>
    <w:next w:val="741"/>
    <w:link w:val="759"/>
    <w:qFormat/>
    <w:pPr>
      <w:ind w:right="-44"/>
      <w:jc w:val="center"/>
      <w:keepNext/>
      <w:tabs>
        <w:tab w:val="left" w:pos="567" w:leader="none"/>
      </w:tabs>
      <w:outlineLvl w:val="5"/>
    </w:pPr>
    <w:rPr>
      <w:sz w:val="24"/>
      <w:szCs w:val="24"/>
      <w:lang w:val="ru-RU"/>
    </w:rPr>
  </w:style>
  <w:style w:type="paragraph" w:styleId="748">
    <w:name w:val="Heading 7"/>
    <w:basedOn w:val="741"/>
    <w:next w:val="741"/>
    <w:link w:val="760"/>
    <w:qFormat/>
    <w:pPr>
      <w:numPr>
        <w:ilvl w:val="0"/>
        <w:numId w:val="2"/>
      </w:numPr>
      <w:ind w:right="40"/>
      <w:jc w:val="center"/>
      <w:keepNext/>
      <w:outlineLvl w:val="6"/>
    </w:pPr>
    <w:rPr>
      <w:b/>
      <w:sz w:val="24"/>
      <w:lang w:val="ru-RU"/>
    </w:rPr>
  </w:style>
  <w:style w:type="paragraph" w:styleId="749">
    <w:name w:val="Heading 8"/>
    <w:basedOn w:val="741"/>
    <w:next w:val="741"/>
    <w:link w:val="761"/>
    <w:qFormat/>
    <w:pPr>
      <w:keepNext/>
      <w:outlineLvl w:val="7"/>
    </w:pPr>
    <w:rPr>
      <w:b/>
      <w:bCs/>
      <w:sz w:val="24"/>
      <w:lang w:val="ru-RU"/>
    </w:rPr>
  </w:style>
  <w:style w:type="paragraph" w:styleId="750">
    <w:name w:val="Heading 9"/>
    <w:basedOn w:val="741"/>
    <w:next w:val="741"/>
    <w:link w:val="76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1" w:default="1">
    <w:name w:val="Default Paragraph Font"/>
    <w:uiPriority w:val="1"/>
    <w:semiHidden/>
    <w:unhideWhenUsed/>
  </w:style>
  <w:style w:type="table" w:styleId="7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3" w:default="1">
    <w:name w:val="No List"/>
    <w:uiPriority w:val="99"/>
    <w:semiHidden/>
    <w:unhideWhenUsed/>
  </w:style>
  <w:style w:type="character" w:styleId="754" w:customStyle="1">
    <w:name w:val="Заголовок 1 Знак"/>
    <w:link w:val="742"/>
    <w:uiPriority w:val="9"/>
    <w:rPr>
      <w:rFonts w:ascii="Arial" w:hAnsi="Arial" w:eastAsia="Arial" w:cs="Arial"/>
      <w:sz w:val="40"/>
      <w:szCs w:val="40"/>
    </w:rPr>
  </w:style>
  <w:style w:type="character" w:styleId="755" w:customStyle="1">
    <w:name w:val="Заголовок 2 Знак"/>
    <w:link w:val="743"/>
    <w:uiPriority w:val="9"/>
    <w:rPr>
      <w:rFonts w:ascii="Arial" w:hAnsi="Arial" w:eastAsia="Arial" w:cs="Arial"/>
      <w:sz w:val="34"/>
    </w:rPr>
  </w:style>
  <w:style w:type="character" w:styleId="756" w:customStyle="1">
    <w:name w:val="Заголовок 3 Знак"/>
    <w:link w:val="744"/>
    <w:uiPriority w:val="9"/>
    <w:rPr>
      <w:rFonts w:ascii="Arial" w:hAnsi="Arial" w:eastAsia="Arial" w:cs="Arial"/>
      <w:sz w:val="30"/>
      <w:szCs w:val="30"/>
    </w:rPr>
  </w:style>
  <w:style w:type="character" w:styleId="757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58" w:customStyle="1">
    <w:name w:val="Заголовок 5 Знак"/>
    <w:link w:val="746"/>
    <w:uiPriority w:val="9"/>
    <w:rPr>
      <w:rFonts w:ascii="Arial" w:hAnsi="Arial" w:eastAsia="Arial" w:cs="Arial"/>
      <w:b/>
      <w:bCs/>
      <w:sz w:val="24"/>
      <w:szCs w:val="24"/>
    </w:rPr>
  </w:style>
  <w:style w:type="character" w:styleId="759" w:customStyle="1">
    <w:name w:val="Заголовок 6 Знак"/>
    <w:link w:val="747"/>
    <w:uiPriority w:val="9"/>
    <w:rPr>
      <w:rFonts w:ascii="Arial" w:hAnsi="Arial" w:eastAsia="Arial" w:cs="Arial"/>
      <w:b/>
      <w:bCs/>
      <w:sz w:val="22"/>
      <w:szCs w:val="22"/>
    </w:rPr>
  </w:style>
  <w:style w:type="character" w:styleId="760" w:customStyle="1">
    <w:name w:val="Заголовок 7 Знак"/>
    <w:link w:val="7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1" w:customStyle="1">
    <w:name w:val="Заголовок 8 Знак"/>
    <w:link w:val="749"/>
    <w:uiPriority w:val="9"/>
    <w:rPr>
      <w:rFonts w:ascii="Arial" w:hAnsi="Arial" w:eastAsia="Arial" w:cs="Arial"/>
      <w:i/>
      <w:iCs/>
      <w:sz w:val="22"/>
      <w:szCs w:val="22"/>
    </w:rPr>
  </w:style>
  <w:style w:type="character" w:styleId="762" w:customStyle="1">
    <w:name w:val="Заголовок 9 Знак"/>
    <w:link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63">
    <w:name w:val="List Paragraph"/>
    <w:basedOn w:val="741"/>
    <w:uiPriority w:val="34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val="ru-RU"/>
    </w:rPr>
  </w:style>
  <w:style w:type="paragraph" w:styleId="764">
    <w:name w:val="No Spacing"/>
    <w:uiPriority w:val="1"/>
    <w:qFormat/>
  </w:style>
  <w:style w:type="paragraph" w:styleId="765">
    <w:name w:val="Title"/>
    <w:basedOn w:val="741"/>
    <w:next w:val="741"/>
    <w:link w:val="76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6" w:customStyle="1">
    <w:name w:val="Заголовок Знак"/>
    <w:link w:val="765"/>
    <w:uiPriority w:val="10"/>
    <w:rPr>
      <w:sz w:val="48"/>
      <w:szCs w:val="48"/>
    </w:rPr>
  </w:style>
  <w:style w:type="paragraph" w:styleId="767">
    <w:name w:val="Subtitle"/>
    <w:basedOn w:val="741"/>
    <w:next w:val="741"/>
    <w:link w:val="768"/>
    <w:uiPriority w:val="11"/>
    <w:qFormat/>
    <w:pPr>
      <w:spacing w:before="200" w:after="200"/>
    </w:pPr>
    <w:rPr>
      <w:sz w:val="24"/>
      <w:szCs w:val="24"/>
    </w:rPr>
  </w:style>
  <w:style w:type="character" w:styleId="768" w:customStyle="1">
    <w:name w:val="Подзаголовок Знак"/>
    <w:link w:val="767"/>
    <w:uiPriority w:val="11"/>
    <w:rPr>
      <w:sz w:val="24"/>
      <w:szCs w:val="24"/>
    </w:rPr>
  </w:style>
  <w:style w:type="paragraph" w:styleId="769">
    <w:name w:val="Quote"/>
    <w:basedOn w:val="741"/>
    <w:next w:val="741"/>
    <w:link w:val="770"/>
    <w:uiPriority w:val="29"/>
    <w:qFormat/>
    <w:pPr>
      <w:ind w:left="720" w:right="720"/>
    </w:pPr>
    <w:rPr>
      <w:i/>
    </w:rPr>
  </w:style>
  <w:style w:type="character" w:styleId="770" w:customStyle="1">
    <w:name w:val="Цитата 2 Знак"/>
    <w:link w:val="769"/>
    <w:uiPriority w:val="29"/>
    <w:rPr>
      <w:i/>
    </w:rPr>
  </w:style>
  <w:style w:type="paragraph" w:styleId="771">
    <w:name w:val="Intense Quote"/>
    <w:basedOn w:val="741"/>
    <w:next w:val="741"/>
    <w:link w:val="77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2" w:customStyle="1">
    <w:name w:val="Выделенная цитата Знак"/>
    <w:link w:val="771"/>
    <w:uiPriority w:val="30"/>
    <w:rPr>
      <w:i/>
    </w:rPr>
  </w:style>
  <w:style w:type="paragraph" w:styleId="773">
    <w:name w:val="Header"/>
    <w:basedOn w:val="741"/>
    <w:link w:val="950"/>
    <w:uiPriority w:val="99"/>
    <w:semiHidden/>
    <w:unhideWhenUsed/>
    <w:pPr>
      <w:tabs>
        <w:tab w:val="center" w:pos="4677" w:leader="none"/>
        <w:tab w:val="right" w:pos="9355" w:leader="none"/>
      </w:tabs>
    </w:pPr>
    <w:rPr>
      <w:lang w:eastAsia="en-US"/>
    </w:rPr>
  </w:style>
  <w:style w:type="character" w:styleId="774" w:customStyle="1">
    <w:name w:val="Header Char"/>
    <w:uiPriority w:val="99"/>
  </w:style>
  <w:style w:type="paragraph" w:styleId="775">
    <w:name w:val="Footer"/>
    <w:basedOn w:val="741"/>
    <w:link w:val="951"/>
    <w:uiPriority w:val="99"/>
    <w:semiHidden/>
    <w:unhideWhenUsed/>
    <w:pPr>
      <w:tabs>
        <w:tab w:val="center" w:pos="4677" w:leader="none"/>
        <w:tab w:val="right" w:pos="9355" w:leader="none"/>
      </w:tabs>
    </w:pPr>
    <w:rPr>
      <w:lang w:eastAsia="en-US"/>
    </w:rPr>
  </w:style>
  <w:style w:type="character" w:styleId="776" w:customStyle="1">
    <w:name w:val="Footer Char"/>
    <w:uiPriority w:val="99"/>
  </w:style>
  <w:style w:type="paragraph" w:styleId="777">
    <w:name w:val="Caption"/>
    <w:basedOn w:val="741"/>
    <w:next w:val="7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8" w:customStyle="1">
    <w:name w:val="Caption Char"/>
    <w:uiPriority w:val="99"/>
  </w:style>
  <w:style w:type="table" w:styleId="779">
    <w:name w:val="Table Grid"/>
    <w:basedOn w:val="752"/>
    <w:uiPriority w:val="59"/>
    <w:tblPr/>
  </w:style>
  <w:style w:type="table" w:styleId="78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 w:customStyle="1">
    <w:name w:val="Таблица простая 1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 w:customStyle="1">
    <w:name w:val="Таблица простая 2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 w:customStyle="1">
    <w:name w:val="Таблица простая 3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4" w:customStyle="1">
    <w:name w:val="Таблица простая 4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Таблица простая 5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6" w:customStyle="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Таблица-сетка 2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Таблица-сетка 3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Таблица-сетка 4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4" w:customStyle="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1" w:customStyle="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8" w:customStyle="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5" w:customStyle="1">
    <w:name w:val="Список-таблица 1 светлая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Список-таблица 2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9" w:customStyle="1">
    <w:name w:val="Список-таблица 3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Список-таблица 4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7" w:customStyle="1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5">
    <w:name w:val="Hyperlink"/>
    <w:semiHidden/>
    <w:rPr>
      <w:color w:val="0000ff"/>
      <w:u w:val="single"/>
    </w:rPr>
  </w:style>
  <w:style w:type="paragraph" w:styleId="906">
    <w:name w:val="footnote text"/>
    <w:basedOn w:val="741"/>
    <w:link w:val="907"/>
    <w:uiPriority w:val="99"/>
    <w:semiHidden/>
    <w:unhideWhenUsed/>
    <w:pPr>
      <w:spacing w:after="40"/>
    </w:pPr>
    <w:rPr>
      <w:sz w:val="18"/>
    </w:rPr>
  </w:style>
  <w:style w:type="character" w:styleId="907" w:customStyle="1">
    <w:name w:val="Текст сноски Знак"/>
    <w:link w:val="906"/>
    <w:uiPriority w:val="99"/>
    <w:rPr>
      <w:sz w:val="18"/>
    </w:rPr>
  </w:style>
  <w:style w:type="character" w:styleId="908">
    <w:name w:val="footnote reference"/>
    <w:uiPriority w:val="99"/>
    <w:unhideWhenUsed/>
    <w:rPr>
      <w:vertAlign w:val="superscript"/>
    </w:rPr>
  </w:style>
  <w:style w:type="paragraph" w:styleId="909">
    <w:name w:val="endnote text"/>
    <w:basedOn w:val="741"/>
    <w:link w:val="910"/>
    <w:uiPriority w:val="99"/>
    <w:semiHidden/>
    <w:unhideWhenUsed/>
  </w:style>
  <w:style w:type="character" w:styleId="910" w:customStyle="1">
    <w:name w:val="Текст концевой сноски Знак"/>
    <w:link w:val="909"/>
    <w:uiPriority w:val="99"/>
    <w:rPr>
      <w:sz w:val="20"/>
    </w:rPr>
  </w:style>
  <w:style w:type="character" w:styleId="911">
    <w:name w:val="endnote reference"/>
    <w:uiPriority w:val="99"/>
    <w:semiHidden/>
    <w:unhideWhenUsed/>
    <w:rPr>
      <w:vertAlign w:val="superscript"/>
    </w:rPr>
  </w:style>
  <w:style w:type="paragraph" w:styleId="912">
    <w:name w:val="toc 1"/>
    <w:basedOn w:val="741"/>
    <w:next w:val="741"/>
    <w:uiPriority w:val="39"/>
    <w:unhideWhenUsed/>
    <w:pPr>
      <w:spacing w:after="57"/>
    </w:pPr>
  </w:style>
  <w:style w:type="paragraph" w:styleId="913">
    <w:name w:val="toc 2"/>
    <w:basedOn w:val="741"/>
    <w:next w:val="741"/>
    <w:uiPriority w:val="39"/>
    <w:unhideWhenUsed/>
    <w:pPr>
      <w:ind w:left="283"/>
      <w:spacing w:after="57"/>
    </w:pPr>
  </w:style>
  <w:style w:type="paragraph" w:styleId="914">
    <w:name w:val="toc 3"/>
    <w:basedOn w:val="741"/>
    <w:next w:val="741"/>
    <w:uiPriority w:val="39"/>
    <w:unhideWhenUsed/>
    <w:pPr>
      <w:ind w:left="567"/>
      <w:spacing w:after="57"/>
    </w:pPr>
  </w:style>
  <w:style w:type="paragraph" w:styleId="915">
    <w:name w:val="toc 4"/>
    <w:basedOn w:val="741"/>
    <w:next w:val="741"/>
    <w:uiPriority w:val="39"/>
    <w:unhideWhenUsed/>
    <w:pPr>
      <w:ind w:left="850"/>
      <w:spacing w:after="57"/>
    </w:pPr>
  </w:style>
  <w:style w:type="paragraph" w:styleId="916">
    <w:name w:val="toc 5"/>
    <w:basedOn w:val="741"/>
    <w:next w:val="741"/>
    <w:uiPriority w:val="39"/>
    <w:unhideWhenUsed/>
    <w:pPr>
      <w:ind w:left="1134"/>
      <w:spacing w:after="57"/>
    </w:pPr>
  </w:style>
  <w:style w:type="paragraph" w:styleId="917">
    <w:name w:val="toc 6"/>
    <w:basedOn w:val="741"/>
    <w:next w:val="741"/>
    <w:uiPriority w:val="39"/>
    <w:unhideWhenUsed/>
    <w:pPr>
      <w:ind w:left="1417"/>
      <w:spacing w:after="57"/>
    </w:pPr>
  </w:style>
  <w:style w:type="paragraph" w:styleId="918">
    <w:name w:val="toc 7"/>
    <w:basedOn w:val="741"/>
    <w:next w:val="741"/>
    <w:uiPriority w:val="39"/>
    <w:unhideWhenUsed/>
    <w:pPr>
      <w:ind w:left="1701"/>
      <w:spacing w:after="57"/>
    </w:pPr>
  </w:style>
  <w:style w:type="paragraph" w:styleId="919">
    <w:name w:val="toc 8"/>
    <w:basedOn w:val="741"/>
    <w:next w:val="741"/>
    <w:uiPriority w:val="39"/>
    <w:unhideWhenUsed/>
    <w:pPr>
      <w:ind w:left="1984"/>
      <w:spacing w:after="57"/>
    </w:pPr>
  </w:style>
  <w:style w:type="paragraph" w:styleId="920">
    <w:name w:val="toc 9"/>
    <w:basedOn w:val="741"/>
    <w:next w:val="741"/>
    <w:uiPriority w:val="39"/>
    <w:unhideWhenUsed/>
    <w:pPr>
      <w:ind w:left="2268"/>
      <w:spacing w:after="57"/>
    </w:pPr>
  </w:style>
  <w:style w:type="paragraph" w:styleId="921">
    <w:name w:val="TOC Heading"/>
    <w:uiPriority w:val="39"/>
    <w:unhideWhenUsed/>
  </w:style>
  <w:style w:type="paragraph" w:styleId="922">
    <w:name w:val="table of figures"/>
    <w:basedOn w:val="741"/>
    <w:next w:val="741"/>
    <w:uiPriority w:val="99"/>
    <w:unhideWhenUsed/>
  </w:style>
  <w:style w:type="paragraph" w:styleId="923" w:customStyle="1">
    <w:name w:val="Заголовок 2;Заголовок 2 Знак;H2;H2 Знак;Заголовок 21"/>
    <w:basedOn w:val="741"/>
    <w:next w:val="741"/>
    <w:qFormat/>
    <w:pPr>
      <w:ind w:right="-107"/>
      <w:keepNext/>
      <w:tabs>
        <w:tab w:val="left" w:pos="567" w:leader="none"/>
      </w:tabs>
      <w:outlineLvl w:val="1"/>
    </w:pPr>
    <w:rPr>
      <w:sz w:val="24"/>
      <w:szCs w:val="24"/>
      <w:lang w:val="ru-RU"/>
    </w:rPr>
  </w:style>
  <w:style w:type="paragraph" w:styleId="924">
    <w:name w:val="List Number"/>
    <w:basedOn w:val="741"/>
    <w:semiHidden/>
    <w:pPr>
      <w:ind w:left="1134" w:hanging="567"/>
      <w:jc w:val="both"/>
      <w:spacing w:before="60" w:after="120" w:line="360" w:lineRule="auto"/>
      <w:tabs>
        <w:tab w:val="num" w:pos="1134" w:leader="none"/>
      </w:tabs>
    </w:pPr>
    <w:rPr>
      <w:sz w:val="28"/>
      <w:szCs w:val="28"/>
      <w:lang w:val="ru-RU"/>
    </w:rPr>
  </w:style>
  <w:style w:type="paragraph" w:styleId="925" w:customStyle="1">
    <w:name w:val="Название1"/>
    <w:basedOn w:val="741"/>
    <w:qFormat/>
    <w:pPr>
      <w:jc w:val="center"/>
    </w:pPr>
    <w:rPr>
      <w:b/>
      <w:bCs/>
      <w:sz w:val="28"/>
      <w:szCs w:val="24"/>
      <w:lang w:val="ru-RU"/>
    </w:rPr>
  </w:style>
  <w:style w:type="paragraph" w:styleId="926">
    <w:name w:val="Body Text"/>
    <w:basedOn w:val="741"/>
    <w:link w:val="953"/>
    <w:semiHidden/>
    <w:pPr>
      <w:jc w:val="both"/>
      <w:outlineLvl w:val="0"/>
    </w:pPr>
    <w:rPr>
      <w:sz w:val="24"/>
      <w:lang w:eastAsia="en-US"/>
    </w:rPr>
  </w:style>
  <w:style w:type="paragraph" w:styleId="927" w:customStyle="1">
    <w:name w:val="Стиль7"/>
    <w:basedOn w:val="926"/>
    <w:pPr>
      <w:numPr>
        <w:ilvl w:val="8"/>
        <w:numId w:val="1"/>
      </w:numPr>
      <w:ind w:left="4320" w:hanging="1440"/>
      <w:spacing w:line="360" w:lineRule="auto"/>
      <w:tabs>
        <w:tab w:val="clear" w:pos="360" w:leader="none"/>
        <w:tab w:val="num" w:pos="1134" w:leader="none"/>
        <w:tab w:val="num" w:pos="6480" w:leader="none"/>
      </w:tabs>
      <w:outlineLvl w:val="9"/>
    </w:pPr>
    <w:rPr>
      <w:b/>
      <w:sz w:val="28"/>
      <w:szCs w:val="28"/>
    </w:rPr>
  </w:style>
  <w:style w:type="character" w:styleId="928" w:customStyle="1">
    <w:name w:val="комментарий"/>
    <w:rPr>
      <w:b/>
      <w:bCs/>
      <w:i/>
      <w:iCs/>
      <w:sz w:val="28"/>
    </w:rPr>
  </w:style>
  <w:style w:type="paragraph" w:styleId="929" w:customStyle="1">
    <w:name w:val="Normal1"/>
    <w:rPr>
      <w:rFonts w:ascii="Times New Roman" w:hAnsi="Times New Roman"/>
      <w:lang w:eastAsia="ru-RU"/>
    </w:rPr>
  </w:style>
  <w:style w:type="paragraph" w:styleId="930" w:customStyle="1">
    <w:name w:val="Знак"/>
    <w:basedOn w:val="741"/>
    <w:pPr>
      <w:spacing w:after="160" w:line="240" w:lineRule="exact"/>
    </w:pPr>
    <w:rPr>
      <w:rFonts w:ascii="Verdana" w:hAnsi="Verdana"/>
      <w:lang w:eastAsia="en-US"/>
    </w:rPr>
  </w:style>
  <w:style w:type="paragraph" w:styleId="931">
    <w:name w:val="Balloon Text"/>
    <w:basedOn w:val="741"/>
    <w:semiHidden/>
    <w:rPr>
      <w:rFonts w:ascii="Tahoma" w:hAnsi="Tahoma" w:cs="Tahoma"/>
      <w:sz w:val="16"/>
      <w:szCs w:val="16"/>
      <w:lang w:val="ru-RU"/>
    </w:rPr>
  </w:style>
  <w:style w:type="paragraph" w:styleId="932" w:customStyle="1">
    <w:name w:val="заголовок 2"/>
    <w:basedOn w:val="741"/>
    <w:next w:val="741"/>
    <w:pPr>
      <w:keepNext/>
      <w:spacing w:before="240" w:after="60"/>
    </w:pPr>
    <w:rPr>
      <w:rFonts w:ascii="Arial" w:hAnsi="Arial"/>
      <w:b/>
      <w:i/>
      <w:sz w:val="24"/>
      <w:lang w:val="ru-RU"/>
    </w:rPr>
  </w:style>
  <w:style w:type="paragraph" w:styleId="933">
    <w:name w:val="Body Text 2"/>
    <w:basedOn w:val="741"/>
    <w:pPr>
      <w:ind w:right="40"/>
      <w:jc w:val="both"/>
    </w:pPr>
    <w:rPr>
      <w:lang w:val="ru-RU"/>
    </w:rPr>
  </w:style>
  <w:style w:type="paragraph" w:styleId="934">
    <w:name w:val="Body Text 3"/>
    <w:basedOn w:val="741"/>
    <w:semiHidden/>
    <w:pPr>
      <w:ind w:right="38"/>
      <w:jc w:val="both"/>
    </w:pPr>
    <w:rPr>
      <w:sz w:val="24"/>
      <w:lang w:val="ru-RU"/>
    </w:rPr>
  </w:style>
  <w:style w:type="paragraph" w:styleId="935">
    <w:name w:val="Block Text"/>
    <w:basedOn w:val="741"/>
    <w:semiHidden/>
    <w:pPr>
      <w:ind w:left="426" w:right="40" w:hanging="426"/>
      <w:jc w:val="both"/>
    </w:pPr>
    <w:rPr>
      <w:sz w:val="24"/>
      <w:lang w:val="ru-RU"/>
    </w:rPr>
  </w:style>
  <w:style w:type="paragraph" w:styleId="936">
    <w:name w:val="Body Text Indent"/>
    <w:basedOn w:val="741"/>
    <w:semiHidden/>
    <w:pPr>
      <w:ind w:left="1418"/>
      <w:keepNext/>
    </w:pPr>
    <w:rPr>
      <w:sz w:val="24"/>
      <w:szCs w:val="24"/>
      <w:lang w:val="ru-RU"/>
    </w:rPr>
  </w:style>
  <w:style w:type="character" w:styleId="937">
    <w:name w:val="FollowedHyperlink"/>
    <w:semiHidden/>
    <w:rPr>
      <w:color w:val="800080"/>
      <w:u w:val="single"/>
    </w:rPr>
  </w:style>
  <w:style w:type="paragraph" w:styleId="938">
    <w:name w:val="Body Text Indent 2"/>
    <w:basedOn w:val="741"/>
    <w:semiHidden/>
    <w:pPr>
      <w:ind w:left="360"/>
      <w:jc w:val="both"/>
      <w:keepNext/>
      <w:tabs>
        <w:tab w:val="left" w:pos="567" w:leader="none"/>
      </w:tabs>
    </w:pPr>
    <w:rPr>
      <w:sz w:val="24"/>
      <w:szCs w:val="24"/>
      <w:lang w:val="ru-RU"/>
    </w:rPr>
  </w:style>
  <w:style w:type="paragraph" w:styleId="939">
    <w:name w:val="Body Text Indent 3"/>
    <w:basedOn w:val="741"/>
    <w:pPr>
      <w:ind w:firstLine="567"/>
      <w:jc w:val="both"/>
    </w:pPr>
    <w:rPr>
      <w:sz w:val="24"/>
      <w:lang w:val="ru-RU"/>
    </w:rPr>
  </w:style>
  <w:style w:type="paragraph" w:styleId="940" w:customStyle="1">
    <w:name w:val="Подпункт"/>
    <w:basedOn w:val="741"/>
    <w:pPr>
      <w:numPr>
        <w:ilvl w:val="2"/>
        <w:numId w:val="3"/>
      </w:numPr>
      <w:jc w:val="both"/>
      <w:spacing w:line="360" w:lineRule="auto"/>
    </w:pPr>
    <w:rPr>
      <w:sz w:val="28"/>
      <w:lang w:val="ru-RU"/>
    </w:rPr>
  </w:style>
  <w:style w:type="paragraph" w:styleId="941" w:customStyle="1">
    <w:name w:val="Подподпункт"/>
    <w:basedOn w:val="940"/>
    <w:pPr>
      <w:numPr>
        <w:ilvl w:val="3"/>
      </w:numPr>
      <w:tabs>
        <w:tab w:val="left" w:pos="1134" w:leader="none"/>
        <w:tab w:val="left" w:pos="1418" w:leader="none"/>
      </w:tabs>
    </w:pPr>
  </w:style>
  <w:style w:type="paragraph" w:styleId="942" w:customStyle="1">
    <w:name w:val="Подподподпункт"/>
    <w:basedOn w:val="741"/>
    <w:pPr>
      <w:numPr>
        <w:ilvl w:val="4"/>
        <w:numId w:val="3"/>
      </w:numPr>
      <w:jc w:val="both"/>
      <w:spacing w:line="360" w:lineRule="auto"/>
      <w:tabs>
        <w:tab w:val="left" w:pos="1134" w:leader="none"/>
        <w:tab w:val="left" w:pos="1701" w:leader="none"/>
      </w:tabs>
    </w:pPr>
    <w:rPr>
      <w:sz w:val="28"/>
      <w:lang w:val="ru-RU"/>
    </w:rPr>
  </w:style>
  <w:style w:type="paragraph" w:styleId="943" w:customStyle="1">
    <w:name w:val="Пункт1"/>
    <w:basedOn w:val="741"/>
    <w:pPr>
      <w:numPr>
        <w:ilvl w:val="0"/>
        <w:numId w:val="3"/>
      </w:numPr>
      <w:jc w:val="center"/>
      <w:spacing w:before="240" w:line="360" w:lineRule="auto"/>
    </w:pPr>
    <w:rPr>
      <w:rFonts w:ascii="Arial" w:hAnsi="Arial"/>
      <w:b/>
      <w:sz w:val="28"/>
      <w:szCs w:val="28"/>
      <w:lang w:val="ru-RU"/>
    </w:rPr>
  </w:style>
  <w:style w:type="character" w:styleId="944" w:customStyle="1">
    <w:name w:val="Знак Знак"/>
    <w:rPr>
      <w:b/>
      <w:bCs/>
      <w:sz w:val="28"/>
      <w:szCs w:val="24"/>
      <w:lang w:val="ru-RU" w:eastAsia="ru-RU" w:bidi="ar-SA"/>
    </w:rPr>
  </w:style>
  <w:style w:type="paragraph" w:styleId="945" w:customStyle="1">
    <w:name w:val="Внутренний адрес"/>
    <w:basedOn w:val="741"/>
    <w:rPr>
      <w:sz w:val="24"/>
      <w:szCs w:val="24"/>
      <w:lang w:val="ru-RU"/>
    </w:rPr>
  </w:style>
  <w:style w:type="paragraph" w:styleId="946" w:customStyle="1">
    <w:name w:val="Обычный1"/>
    <w:pPr>
      <w:ind w:firstLine="567"/>
      <w:jc w:val="both"/>
      <w:spacing w:before="120" w:after="120"/>
      <w:widowControl w:val="off"/>
    </w:pPr>
    <w:rPr>
      <w:rFonts w:ascii="Times New Roman" w:hAnsi="Times New Roman"/>
      <w:sz w:val="24"/>
      <w:lang w:eastAsia="ru-RU"/>
    </w:rPr>
  </w:style>
  <w:style w:type="paragraph" w:styleId="947">
    <w:name w:val="Normal (Web)"/>
    <w:basedOn w:val="741"/>
    <w:uiPriority w:val="99"/>
    <w:unhideWhenUsed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948">
    <w:name w:val="Strong"/>
    <w:uiPriority w:val="22"/>
    <w:qFormat/>
    <w:rPr>
      <w:b/>
      <w:bCs/>
    </w:rPr>
  </w:style>
  <w:style w:type="character" w:styleId="949" w:customStyle="1">
    <w:name w:val="Заголовок 4 Знак"/>
    <w:link w:val="745"/>
    <w:uiPriority w:val="9"/>
    <w:rPr>
      <w:rFonts w:ascii="Times New Roman" w:hAnsi="Times New Roman"/>
      <w:sz w:val="24"/>
      <w:szCs w:val="24"/>
    </w:rPr>
  </w:style>
  <w:style w:type="character" w:styleId="950" w:customStyle="1">
    <w:name w:val="Верхний колонтитул Знак"/>
    <w:link w:val="773"/>
    <w:uiPriority w:val="99"/>
    <w:semiHidden/>
    <w:rPr>
      <w:rFonts w:ascii="Times New Roman" w:hAnsi="Times New Roman"/>
      <w:lang w:val="en-US"/>
    </w:rPr>
  </w:style>
  <w:style w:type="character" w:styleId="951" w:customStyle="1">
    <w:name w:val="Нижний колонтитул Знак"/>
    <w:link w:val="775"/>
    <w:uiPriority w:val="99"/>
    <w:semiHidden/>
    <w:rPr>
      <w:rFonts w:ascii="Times New Roman" w:hAnsi="Times New Roman"/>
      <w:lang w:val="en-US"/>
    </w:rPr>
  </w:style>
  <w:style w:type="character" w:styleId="952" w:customStyle="1">
    <w:name w:val="b-text18"/>
    <w:basedOn w:val="751"/>
  </w:style>
  <w:style w:type="character" w:styleId="953" w:customStyle="1">
    <w:name w:val="Основной текст Знак"/>
    <w:link w:val="926"/>
    <w:semiHidden/>
    <w:rPr>
      <w:rFonts w:ascii="Times New Roman" w:hAnsi="Times New Roman"/>
      <w:sz w:val="24"/>
    </w:rPr>
  </w:style>
  <w:style w:type="table" w:styleId="954" w:customStyle="1">
    <w:name w:val="StGen0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" w:eastAsia="zh-CN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115" w:type="dxa"/>
        <w:top w:w="0" w:type="dxa"/>
        <w:right w:w="115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РСК</Company>
  <DocSecurity>0</DocSecurity>
  <HyperlinksChanged>false</HyperlinksChanged>
  <LinksUpToDate>false</LinksUpToDate>
  <ScaleCrop>false</ScaleCrop>
  <SharedDoc>false</SharedDoc>
  <Template>Отредактированное ТЗ СО. ТЗ 0020-02 транспортных средств самоходных машин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Степаненко Андрей Васильевич</dc:creator>
  <cp:revision>32</cp:revision>
  <dcterms:created xsi:type="dcterms:W3CDTF">2024-03-12T02:48:00Z</dcterms:created>
  <dcterms:modified xsi:type="dcterms:W3CDTF">2025-12-23T03:57:21Z</dcterms:modified>
  <cp:version>917504</cp:version>
</cp:coreProperties>
</file>